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</w:p>
    <w:p>
      <w:pPr>
        <w:pStyle w:val="Title"/>
        <w:jc w:val="left"/>
      </w:pPr>
      <w:r>
        <w:t>ORBITAL ENERGY</w:t>
      </w:r>
    </w:p>
    <w:p>
      <w:pPr>
        <w:spacing w:after="360"/>
      </w:pPr>
      <w:r>
        <w:rPr>
          <w:rFonts w:ascii="Cambria" w:hAnsi="Cambria"/>
          <w:b/>
          <w:sz w:val="24"/>
        </w:rPr>
        <w:t>Техническая записка: архитектура, мировой prior art и направления патентной защиты</w:t>
      </w:r>
    </w:p>
    <w:p>
      <w:pPr>
        <w:pStyle w:val="Lead"/>
      </w:pPr>
      <w:r>
        <w:t>Версия 0.1</w:t>
      </w:r>
    </w:p>
    <w:p>
      <w:pPr>
        <w:pStyle w:val="Lead"/>
      </w:pPr>
      <w:r>
        <w:t>30 августа 2026 года</w:t>
      </w:r>
    </w:p>
    <w:p>
      <w:pPr>
        <w:pStyle w:val="Lead"/>
      </w:pPr>
      <w:r>
        <w:t>Рабочий материал</w:t>
      </w:r>
    </w:p>
    <w:p>
      <w:pPr>
        <w:spacing w:before="640" w:after="80"/>
      </w:pPr>
      <w:r>
        <w:rPr>
          <w:b/>
          <w:sz w:val="21"/>
        </w:rPr>
        <w:t>Назначение документа</w:t>
      </w:r>
    </w:p>
    <w:p>
      <w:r>
        <w:t>Зафиксировать собранную архитектуру Orbital Energy, отделить уже известные мировые решения от потенциально оригинального ядра, определить направления первичной патентной защиты и перечень технических вопросов, которые необходимо формализовать перед подачей заявок.</w:t>
      </w:r>
    </w:p>
    <w:p>
      <w:pPr>
        <w:spacing w:before="320"/>
      </w:pPr>
      <w:r>
        <w:rPr>
          <w:b/>
        </w:rPr>
        <w:t>Ограничение</w:t>
      </w:r>
    </w:p>
    <w:p>
      <w:r>
        <w:t>Это предварительный технический и prior-art обзор. Он не является заключением о патентоспособности, свободе использования (FTO) или действительности конкретных патентных формул. Перед подачей заявок требуется профессиональный поиск по патентным семействам, национальным фазам и формуле каждого релевантного документа.</w:t>
      </w:r>
    </w:p>
    <w:p>
      <w:r>
        <w:br w:type="page"/>
      </w:r>
    </w:p>
    <w:p>
      <w:pPr>
        <w:pStyle w:val="Heading1"/>
      </w:pPr>
      <w:r>
        <w:t>0. Вывод</w:t>
      </w:r>
    </w:p>
    <w:p>
      <w:r>
        <w:t>Orbital Energy уже складывается в самостоятельную транзакционную архитектуру. Ее ценность находится в сочетании нескольких механизмов, которые по отдельности известны рынку: энергетические атрибуты, provenance, lifecycle-ledger, intent-based execution, отложенный settlement, цифровые роялти и product lineage.</w:t>
      </w:r>
    </w:p>
    <w:p>
      <w:r>
        <w:t>Предварительный поиск не выявил опубликованную систему, в которой один энергетический origin одновременно: (i) фиксируется мгновенной экономической сделкой при возможном более позднем settlement; (ii) образует композит с интеллектом и патентами; (iii) порождает три класса маржи; (iv) передает часть downstream-ценности обратно исходному продавцу энергии по ancestry graph; (v) сохраняет lineage до завершения всех производных ветвей в состояниях RDR: Retired, Destroyed, Recycled.</w:t>
      </w:r>
    </w:p>
    <w:p>
      <w:r>
        <w:t>Самая сильная зона для защиты: Energy Ancestry + Recursive Economic Return + Three-Margin Transaction + Dual Finality + RDR Closure. Широкие идеи токенизации зеленой энергии, продажи REC/GEC, обычного provenance, lifecycle tracking и обычных роялти уже имеют серьезный prior art.</w:t>
      </w:r>
    </w:p>
    <w:p>
      <w:pPr>
        <w:pStyle w:val="Heading1"/>
      </w:pPr>
      <w:r>
        <w:t>1. Что собрано в Orbital Energy</w:t>
      </w:r>
    </w:p>
    <w:p>
      <w:r>
        <w:t>Orbital Energy рассматривает энергию как корневой ресурс, от которого сохраняется доказуемая экономическая родословная последующих продуктов, услуг и прав. Вся цепочка объединяется одним Root Transaction ID.</w:t>
      </w:r>
    </w:p>
    <w:p>
      <w:pPr>
        <w:pStyle w:val="Mono"/>
        <w:spacing w:before="40" w:after="100"/>
        <w:ind w:left="340"/>
      </w:pPr>
      <w:r>
        <w:rPr>
          <w:rFonts w:ascii="Liberation Mono" w:hAnsi="Liberation Mono"/>
          <w:sz w:val="17"/>
        </w:rPr>
        <w:t>ORDER INTENT</w:t>
        <w:br/>
      </w:r>
      <w:r>
        <w:rPr>
          <w:rFonts w:ascii="Liberation Mono" w:hAnsi="Liberation Mono"/>
          <w:sz w:val="17"/>
        </w:rPr>
        <w:t xml:space="preserve">  -&gt; SOURCE SOLVER COMPETITION</w:t>
        <w:br/>
      </w:r>
      <w:r>
        <w:rPr>
          <w:rFonts w:ascii="Liberation Mono" w:hAnsi="Liberation Mono"/>
          <w:sz w:val="17"/>
        </w:rPr>
        <w:t xml:space="preserve">  -&gt; ECONOMIC FILL / GUARANTEE</w:t>
        <w:br/>
      </w:r>
      <w:r>
        <w:rPr>
          <w:rFonts w:ascii="Liberation Mono" w:hAnsi="Liberation Mono"/>
          <w:sz w:val="17"/>
        </w:rPr>
        <w:t xml:space="preserve">  -&gt; SETTLEMENT SOLVER COMPETITION</w:t>
        <w:br/>
      </w:r>
      <w:r>
        <w:rPr>
          <w:rFonts w:ascii="Liberation Mono" w:hAnsi="Liberation Mono"/>
          <w:sz w:val="17"/>
        </w:rPr>
        <w:t xml:space="preserve">  -&gt; ENERGY + OFFICIAL EAC</w:t>
        <w:br/>
      </w:r>
      <w:r>
        <w:rPr>
          <w:rFonts w:ascii="Liberation Mono" w:hAnsi="Liberation Mono"/>
          <w:sz w:val="17"/>
        </w:rPr>
        <w:t xml:space="preserve">  -&gt; COMPOSITE: ENERGY + INTELLIGENCE + IP + ECONOMIC RIGHTS</w:t>
        <w:br/>
      </w:r>
      <w:r>
        <w:rPr>
          <w:rFonts w:ascii="Liberation Mono" w:hAnsi="Liberation Mono"/>
          <w:sz w:val="17"/>
        </w:rPr>
        <w:t xml:space="preserve">  -&gt; VERIFIED BENEFIT</w:t>
        <w:br/>
      </w:r>
      <w:r>
        <w:rPr>
          <w:rFonts w:ascii="Liberation Mono" w:hAnsi="Liberation Mono"/>
          <w:sz w:val="17"/>
        </w:rPr>
        <w:t xml:space="preserve">  -&gt; PRODUCT DESCENDANTS / CASCADE</w:t>
        <w:br/>
      </w:r>
      <w:r>
        <w:rPr>
          <w:rFonts w:ascii="Liberation Mono" w:hAnsi="Liberation Mono"/>
          <w:sz w:val="17"/>
        </w:rPr>
        <w:t xml:space="preserve">  -&gt; UPSTREAM RETURNS</w:t>
        <w:br/>
      </w:r>
      <w:r>
        <w:rPr>
          <w:rFonts w:ascii="Liberation Mono" w:hAnsi="Liberation Mono"/>
          <w:sz w:val="17"/>
        </w:rPr>
        <w:t xml:space="preserve">  -&gt; RDR FOR ALL ACTIVE LEAVES</w:t>
        <w:br/>
      </w:r>
      <w:r>
        <w:rPr>
          <w:rFonts w:ascii="Liberation Mono" w:hAnsi="Liberation Mono"/>
          <w:sz w:val="17"/>
        </w:rPr>
        <w:t xml:space="preserve">  -&gt; ROOT CLOSED</w:t>
      </w:r>
    </w:p>
    <w:p>
      <w:pPr>
        <w:pStyle w:val="Heading2"/>
      </w:pPr>
      <w:r>
        <w:t>1.1. Два момента финальности</w:t>
      </w:r>
    </w:p>
    <w:p>
      <w:r>
        <w:t>В Orbital Energy разделяются экономическая финальность и расчетная финальность.</w:t>
      </w:r>
    </w:p>
    <w:p>
      <w:pPr>
        <w:ind w:left="283" w:hanging="170"/>
      </w:pPr>
      <w:r>
        <w:t>•  Economic Finality: пользовательская заявка исполнена в ledger, цена и обязательство зафиксированы, платеж гарантирован установленным механизмом.</w:t>
      </w:r>
    </w:p>
    <w:p>
      <w:pPr>
        <w:ind w:left="283" w:hanging="170"/>
      </w:pPr>
      <w:r>
        <w:t>•  Settlement Finality: деньги, документы, налоги, бухгалтерское отражение, перевод или погашение сертификата завершены позднее выбранным settlement-исполнителем.</w:t>
      </w:r>
    </w:p>
    <w:p>
      <w:r>
        <w:t>Это позволяет совершать экономическую покупку за секунды и вынести движение денег, локальное оформление и технический settlement в отдельный конкурентный слой.</w:t>
      </w:r>
    </w:p>
    <w:p>
      <w:pPr>
        <w:pStyle w:val="Heading2"/>
      </w:pPr>
      <w:r>
        <w:t>1.2. Два соревнования агентов</w:t>
      </w:r>
    </w:p>
    <w:p>
      <w:pPr>
        <w:ind w:left="283" w:hanging="170"/>
      </w:pPr>
      <w:r>
        <w:t>•  Source solvers конкурируют за минимальную фактическую стоимость требуемого энергетического origin и атрибута при заданных ограничениях качества, географии, vintage и технологии.</w:t>
      </w:r>
    </w:p>
    <w:p>
      <w:pPr>
        <w:ind w:left="283" w:hanging="170"/>
      </w:pPr>
      <w:r>
        <w:t>•  Settlement solvers конкурируют за стоимость и качество расчетов: платежный маршрут, валюту, документы, налоги, бухгалтерию, registry action, redemption/retirement и доказательства исполнения.</w:t>
      </w:r>
    </w:p>
    <w:p>
      <w:r>
        <w:t>Рыночная заявка формулируется как intent. Пользователь задает результат и ограничения, исполнители выбирают маршрут исполнения. Сходная логика существует в intent-based trading, например в CoW Protocol, где solvers конкурируют за исполнение подписанного намерения пользователя. [8]</w:t>
      </w:r>
    </w:p>
    <w:p>
      <w:pPr>
        <w:pStyle w:val="Heading1"/>
      </w:pPr>
      <w:r>
        <w:t>2. Экономика трех маржей</w:t>
      </w:r>
    </w:p>
    <w:p>
      <w:r>
        <w:t>Orbital Energy фиксирует три различных экономических события внутри одной корневой транзакции. Энергия торгуется как исходный ресурс один раз. После использования официального энергетического сертификата продолжают жить provenance и отдельные экономические права Orbital Energy.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521"/>
        <w:gridCol w:w="2521"/>
        <w:gridCol w:w="2521"/>
        <w:gridCol w:w="2521"/>
      </w:tblGrid>
      <w:tr>
        <w:trPr>
          <w:tblHeader/>
          <w:cantSplit/>
        </w:trPr>
        <w:tc>
          <w:tcPr>
            <w:tcW w:type="dxa" w:w="119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Уровень</w:t>
            </w:r>
          </w:p>
        </w:tc>
        <w:tc>
          <w:tcPr>
            <w:tcW w:type="dxa" w:w="1928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Рабочее имя</w:t>
            </w:r>
          </w:p>
        </w:tc>
        <w:tc>
          <w:tcPr>
            <w:tcW w:type="dxa" w:w="4649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Содержание</w:t>
            </w:r>
          </w:p>
        </w:tc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Частота</w:t>
            </w:r>
          </w:p>
        </w:tc>
      </w:tr>
      <w:tr>
        <w:trPr>
          <w:cantSplit/>
        </w:trPr>
        <w:tc>
          <w:tcPr>
            <w:tcW w:type="dxa" w:w="119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Margin I</w:t>
            </w:r>
          </w:p>
        </w:tc>
        <w:tc>
          <w:tcPr>
            <w:tcW w:type="dxa" w:w="1928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Energy Margin</w:t>
            </w:r>
          </w:p>
        </w:tc>
        <w:tc>
          <w:tcPr>
            <w:tcW w:type="dxa" w:w="4649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Первичная покупка energy origin. Экономия относительно benchmark делится между клиентом и системой.</w:t>
            </w:r>
          </w:p>
        </w:tc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Однократно для исходной энергетической сделки.</w:t>
            </w:r>
          </w:p>
        </w:tc>
      </w:tr>
      <w:tr>
        <w:trPr>
          <w:cantSplit/>
        </w:trPr>
        <w:tc>
          <w:tcPr>
            <w:tcW w:type="dxa" w:w="119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Margin II</w:t>
            </w:r>
          </w:p>
        </w:tc>
        <w:tc>
          <w:tcPr>
            <w:tcW w:type="dxa" w:w="1928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Intelligence / IP Margin</w:t>
            </w:r>
          </w:p>
        </w:tc>
        <w:tc>
          <w:tcPr>
            <w:tcW w:type="dxa" w:w="4649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После объединения энергии с интеллектом, алгоритмами и патентами измеряется подтвержденный дополнительный эффект. Часть результата возвращается исходному продавцу энергии.</w:t>
            </w:r>
          </w:p>
        </w:tc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По событию verified profit.</w:t>
            </w:r>
          </w:p>
        </w:tc>
      </w:tr>
      <w:tr>
        <w:trPr>
          <w:cantSplit/>
        </w:trPr>
        <w:tc>
          <w:tcPr>
            <w:tcW w:type="dxa" w:w="119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Margin III</w:t>
            </w:r>
          </w:p>
        </w:tc>
        <w:tc>
          <w:tcPr>
            <w:tcW w:type="dxa" w:w="1928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Cascade Margin</w:t>
            </w:r>
          </w:p>
        </w:tc>
        <w:tc>
          <w:tcPr>
            <w:tcW w:type="dxa" w:w="4649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Производный продукт поднимается по цепочке. При каждом новом подтвержденном приросте ценности установленная доля направляется вверх по ancestry graph.</w:t>
            </w:r>
          </w:p>
        </w:tc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Многократно, для каждого descendant event.</w:t>
            </w:r>
          </w:p>
        </w:tc>
      </w:tr>
    </w:tbl>
    <w:p>
      <w:pPr>
        <w:spacing w:after="20"/>
      </w:pPr>
    </w:p>
    <w:p>
      <w:pPr>
        <w:pStyle w:val="Heading2"/>
      </w:pPr>
      <w:r>
        <w:t>2.1. Текущий базовый пример Margin I</w:t>
      </w:r>
    </w:p>
    <w:p>
      <w:r>
        <w:t>Пусть B - средняя покупная цена энергии X5, используемая как benchmark. Для обсуждаемой модели целевой вход установлен на уровне 33% ниже benchmark.</w:t>
      </w:r>
    </w:p>
    <w:p>
      <w:pPr>
        <w:pStyle w:val="Mono"/>
        <w:spacing w:before="40" w:after="100"/>
        <w:ind w:left="340"/>
      </w:pPr>
      <w:r>
        <w:rPr>
          <w:rFonts w:ascii="Liberation Mono" w:hAnsi="Liberation Mono"/>
          <w:sz w:val="17"/>
        </w:rPr>
        <w:t>B                = X5 benchmark</w:t>
        <w:br/>
      </w:r>
      <w:r>
        <w:rPr>
          <w:rFonts w:ascii="Liberation Mono" w:hAnsi="Liberation Mono"/>
          <w:sz w:val="17"/>
        </w:rPr>
        <w:t>P_source target  &lt;= 0.67 * B</w:t>
        <w:br/>
      </w:r>
      <w:r>
        <w:rPr>
          <w:rFonts w:ascii="Liberation Mono" w:hAnsi="Liberation Mono"/>
          <w:sz w:val="17"/>
        </w:rPr>
        <w:t>P_X5             = 0.835 * B</w:t>
        <w:br/>
      </w:r>
      <w:r>
        <w:rPr>
          <w:rFonts w:ascii="Liberation Mono" w:hAnsi="Liberation Mono"/>
          <w:sz w:val="17"/>
        </w:rPr>
        <w:t>X5 saving        = 0.165 * B</w:t>
        <w:br/>
      </w:r>
      <w:r>
        <w:rPr>
          <w:rFonts w:ascii="Liberation Mono" w:hAnsi="Liberation Mono"/>
          <w:sz w:val="17"/>
        </w:rPr>
        <w:t>Base system M1   = 0.165 * B  (если source fill = 0.67 * B)</w:t>
        <w:br/>
      </w:r>
      <w:r>
        <w:rPr>
          <w:rFonts w:ascii="Liberation Mono" w:hAnsi="Liberation Mono"/>
          <w:sz w:val="17"/>
        </w:rPr>
        <w:t>Extra sourcing alpha = 0.835 * B - actual source fill</w:t>
      </w:r>
    </w:p>
    <w:p>
      <w:r>
        <w:t>Конкретные коэффициенты являются коммерческими параметрами протокола и могут меняться. Для патентной формулы важнее сам механизм: benchmark, лимит исполнения, гарантированный клиентский эффект, выделение sourcing alpha и запись распределения в одну root transaction.</w:t>
      </w:r>
    </w:p>
    <w:p>
      <w:pPr>
        <w:pStyle w:val="Heading2"/>
      </w:pPr>
      <w:r>
        <w:t>2.2. Margin II и Margin III</w:t>
      </w:r>
    </w:p>
    <w:p>
      <w:pPr>
        <w:pStyle w:val="Mono"/>
        <w:spacing w:before="40" w:after="100"/>
        <w:ind w:left="340"/>
      </w:pPr>
      <w:r>
        <w:rPr>
          <w:rFonts w:ascii="Liberation Mono" w:hAnsi="Liberation Mono"/>
          <w:sz w:val="17"/>
        </w:rPr>
        <w:t>Verified Profit II = measured benefit attributable to Intelligence / IP layer</w:t>
        <w:br/>
      </w:r>
      <w:r>
        <w:rPr>
          <w:rFonts w:ascii="Liberation Mono" w:hAnsi="Liberation Mono"/>
          <w:sz w:val="17"/>
        </w:rPr>
        <w:t>Seller Return II   = alpha_2 * Verified Profit II</w:t>
        <w:br/>
      </w:r>
      <w:r>
        <w:rPr>
          <w:rFonts w:ascii="Liberation Mono" w:hAnsi="Liberation Mono"/>
          <w:sz w:val="17"/>
        </w:rPr>
        <w:br/>
      </w:r>
      <w:r>
        <w:rPr>
          <w:rFonts w:ascii="Liberation Mono" w:hAnsi="Liberation Mono"/>
          <w:sz w:val="17"/>
        </w:rPr>
        <w:t>Cascade Profit[j]  = verified incremental value at descendant j</w:t>
        <w:br/>
      </w:r>
      <w:r>
        <w:rPr>
          <w:rFonts w:ascii="Liberation Mono" w:hAnsi="Liberation Mono"/>
          <w:sz w:val="17"/>
        </w:rPr>
        <w:t>Upstream Return[j] = alpha_3[j] * Cascade Profit[j]</w:t>
      </w:r>
    </w:p>
    <w:p>
      <w:r>
        <w:t>Критическая особенность: продавец исходного энергетического ресурса сохраняет экономическую связь с downstream-ценностью. Это создает для него вторую и последующие потенциальные доходности после первичной продажи энергии.</w:t>
      </w:r>
    </w:p>
    <w:p>
      <w:pPr>
        <w:pStyle w:val="Heading1"/>
      </w:pPr>
      <w:r>
        <w:t>3. Ledger и жизненный цикл транзакции</w:t>
      </w:r>
    </w:p>
    <w:p>
      <w:r>
        <w:t>Корневой объект Orbital Energy - Root Transaction. Он содержит происхождение энергии, права, обязательства, все дочерние продукты и все денежные события. Root Transaction закрывается только после завершения каждой активной дочерней ветви.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5043"/>
        <w:gridCol w:w="5043"/>
      </w:tblGrid>
      <w:tr>
        <w:trPr>
          <w:tblHeader/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State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Смысл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INTENT_OPEN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Заявка создана, условия исполнения определены.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BIDDING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Source solvers и/или settlement solvers подают предложения.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FILLED_GUARANTEED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Экономическая сделка зафиксирована и обеспечена гарантией.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SETTLEMENT_PENDING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Расчет, документы или registry actions еще выполняются.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SOURCE_SETTLED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Исходный энергетический актив и официальный атрибут оформлены.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COMPOSITE_ACTIVE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Создан композит Energy + Attribute + Intelligence + IP + Rights.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DESCENDANTS_ACTIVE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Существуют производные продукты или экономические права.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RDR_PENDING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Часть ветвей завершена, часть остается активной.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CLOSED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Все активные листья терминальны, нет незавершенных денежных или правовых обязательств.</w:t>
            </w:r>
          </w:p>
        </w:tc>
      </w:tr>
    </w:tbl>
    <w:p>
      <w:pPr>
        <w:spacing w:after="20"/>
      </w:pPr>
    </w:p>
    <w:p>
      <w:pPr>
        <w:pStyle w:val="Heading2"/>
      </w:pPr>
      <w:r>
        <w:t>3.1. RDR</w:t>
      </w:r>
    </w:p>
    <w:p>
      <w:r>
        <w:t>RDR расшифровывается как Retired, Destroyed, Recycled.</w:t>
      </w:r>
    </w:p>
    <w:p>
      <w:pPr>
        <w:ind w:left="283" w:hanging="170"/>
      </w:pPr>
      <w:r>
        <w:t>•  RETIRED: объект, право или сертификат штатно выведен из обращения и больше не способен создавать прежнее право или claim.</w:t>
      </w:r>
    </w:p>
    <w:p>
      <w:pPr>
        <w:ind w:left="283" w:hanging="170"/>
      </w:pPr>
      <w:r>
        <w:t>•  DESTROYED: физический объект прекращает существование в текущей форме либо полностью потребляется.</w:t>
      </w:r>
    </w:p>
    <w:p>
      <w:pPr>
        <w:ind w:left="283" w:hanging="170"/>
      </w:pPr>
      <w:r>
        <w:t>•  RECYCLED: текущий объект завершает свой жизненный цикл через переработку. Если переработанный материал становится новым экономическим объектом, ledger создает successor branch с сохранением provenance.</w:t>
      </w:r>
    </w:p>
    <w:p>
      <w:r>
        <w:t>Следовательно, RECYCLED является терминальным состоянием текущего объекта, но не обязательно всей ancestry path. Root закрывается только при отсутствии активного successor.</w:t>
      </w:r>
    </w:p>
    <w:p>
      <w:pPr>
        <w:pStyle w:val="Heading1"/>
      </w:pPr>
      <w:r>
        <w:t>4. Критическое разделение прав: официальный EAC и Orbital Economic Attribute</w:t>
      </w:r>
    </w:p>
    <w:p>
      <w:r>
        <w:t>Для юридической и технической чистоты ledger должен вести два разных класса атрибутов.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5043"/>
        <w:gridCol w:w="5043"/>
      </w:tblGrid>
      <w:tr>
        <w:trPr>
          <w:tblHeader/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Класс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6"/>
              </w:rPr>
              <w:t>Правило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Official Environmental Attribute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REC, GEC, GO или иной официальный EAC. Поддерживает одно экологическое утверждение, учитывается в официальном registry и после retirement/redemption не должен повторно продаваться или использоваться для второго экологического claim. [1][2][3]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Orbital Provenance Attribute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Постоянная ссылка на происхождение: источник энергии, станция, период, сертификат, transaction IDs, процессы преобразования и descendants.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Orbital Economic Attribute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Договорное экономическое право участвовать в downstream value creation и распределении Margin II / Margin III. Может переходить по product lineage по правилам Orbital Energy.</w:t>
            </w:r>
          </w:p>
        </w:tc>
      </w:tr>
      <w:tr>
        <w:trPr>
          <w:cantSplit/>
        </w:trPr>
        <w:tc>
          <w:tcPr>
            <w:tcW w:type="dxa" w:w="272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Royalty / Return Right</w:t>
            </w:r>
          </w:p>
        </w:tc>
        <w:tc>
          <w:tcPr>
            <w:tcW w:type="dxa" w:w="7597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6"/>
              </w:rPr>
              <w:t>Право конкретного ancestor на долю подтвержденной downstream-маржи.</w:t>
            </w:r>
          </w:p>
        </w:tc>
      </w:tr>
    </w:tbl>
    <w:p>
      <w:pPr>
        <w:spacing w:after="20"/>
      </w:pPr>
    </w:p>
    <w:p>
      <w:r>
        <w:t>Такое разделение исключает попытку многократно продавать официальный environmental claim. EPA прямо указывает, что EAC после retirement больше не может быть передан и что один и тот же renewable attribute нельзя заявлять двумя сторонами. [3] Китайский GEC и индийский REC также ведутся в официальных системах с правилами issuance, trade и redemption/核销. [1][2]</w:t>
      </w:r>
    </w:p>
    <w:p>
      <w:pPr>
        <w:pStyle w:val="Heading1"/>
      </w:pPr>
      <w:r>
        <w:t>5. Мировые аналоги и prior art</w:t>
      </w:r>
    </w:p>
    <w:p>
      <w:r>
        <w:t>Ниже приведены наиболее близкие решения, найденные в предварительном поиске. Они закрывают значительную часть отдельных механизмов Orbital Energy и определяют границы, где широкие патентные формулировки будут слабыми.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362"/>
        <w:gridCol w:w="3362"/>
        <w:gridCol w:w="3362"/>
      </w:tblGrid>
      <w:tr>
        <w:trPr>
          <w:tblHeader/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4"/>
              </w:rPr>
              <w:t>Источник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4"/>
              </w:rPr>
              <w:t>Что уже сделано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/>
                <w:sz w:val="14"/>
              </w:rPr>
              <w:t>Значение для Orbital Energy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JPMorgan Chase, US11544788B1, priority 2019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Tokenization, management, trading, settlement and retirement renewable energy attributes. Marketplace, bids, tokens, cash settlement, retirement. Активный патент США. [4]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Очень близко к энергетическому trade/settlement layer. Не покрывает найденным текстом трехмаржинальную ancestry-экономику производных продуктов.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BASF, WO2025181018A1, priority 2024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Energy Attribute Certificate -&gt; digital sustainability credit -&gt; material ledger -&gt; balancing account -&gt; chemical product identifier; cost attribute может учитываться как utility cost. [5]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Очень близко к переносу энергетического sustainability attribute в продукт и material ledger.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Carbon Finance Labs, EP4406213A1, priority 2021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Digital twin lifecycle, transfer/split/derived objects; REC может быть входом для electricity object и далее участвовать в carbon-managed aluminum/cans. [6]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Очень близко к product lineage и переносу environmental instrument в производные товары.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UN Transparency Protocol, Chain of Custody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Book-and-Claim: credit передается покупателям, затем retire при производстве, а evidence связывается с Digital Product Passport произведенного товара. [7]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Очень близко к transfer/retirement/evidence cascade без recursive profit return.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Story Protocol, Royalty Module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Ancestry graph IP assets; royalty stack; revenue from descendant распределяется ancestors. [9]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Почти прямой аналог recursive upstream royalty, но предметом являются IP assets.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CopyForward, US11514410B1, priority 2021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Permanent/semi-permanent royalties and conditions can follow property from owner to owner through distributed ledger. [10]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Сильный prior art для forward royalties, encumbrances и прав, следующих за активом.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Moog, US11107168B2 family, priority 2016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Blockchain provenance manufactured parts, многоуровневые suppliers, IP elements inside products и компенсация владельцам IP. [11]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Сильный prior art для product provenance + IP remuneration across supply chain.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Device lifecycle distributed ledger, US11256799B2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Lifecycle ledger фиксирует end-of-life, destruction, repair/refurbishment and repeated lifecycle. [12]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Сильный prior art для lifecycle closure / destruction. RDR как отдельное слово само по себе слабая зона защиты.</w:t>
            </w:r>
          </w:p>
        </w:tc>
      </w:tr>
      <w:tr>
        <w:trPr>
          <w:cantSplit/>
        </w:trPr>
        <w:tc>
          <w:tcPr>
            <w:tcW w:type="dxa" w:w="2551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CoW Protocol</w:t>
            </w:r>
          </w:p>
        </w:tc>
        <w:tc>
          <w:tcPr>
            <w:tcW w:type="dxa" w:w="4422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User signs intent; solvers compete for best execution and settlement path. [8]</w:t>
            </w:r>
          </w:p>
        </w:tc>
        <w:tc>
          <w:tcPr>
            <w:tcW w:type="dxa" w:w="3345"/>
            <w:vAlign w:val="top"/>
          </w:tcPr>
          <w:p>
            <w:pPr>
              <w:spacing w:after="0" w:line="240" w:lineRule="auto"/>
            </w:pPr>
            <w:r/>
            <w:r>
              <w:rPr>
                <w:rFonts w:ascii="Cambria" w:hAnsi="Cambria"/>
                <w:b w:val="0"/>
                <w:sz w:val="14"/>
              </w:rPr>
              <w:t>Сильный архитектурный аналог solver competition, но в DeFi trading.</w:t>
            </w:r>
          </w:p>
        </w:tc>
      </w:tr>
    </w:tbl>
    <w:p>
      <w:pPr>
        <w:spacing w:after="20"/>
      </w:pPr>
    </w:p>
    <w:p>
      <w:pPr>
        <w:pStyle w:val="Heading1"/>
      </w:pPr>
      <w:r>
        <w:t>6. Предварительная граница оригинальности</w:t>
      </w:r>
    </w:p>
    <w:p>
      <w:r>
        <w:t>После учета найденного prior art нельзя строить патентную стратегию вокруг следующих широких тезисов: "ledger зеленой энергии", "токенизация REC/GEC", "перенос зеленого атрибута в продукт", "product provenance", "retirement в blockchain", "роялти, следующие за активом" или "solver competition". Для каждого тезиса уже существует существенный prior art.</w:t>
      </w:r>
    </w:p>
    <w:p>
      <w:r>
        <w:t>Потенциально сильнее выглядит конкретная комбинация, в которой энергетический origin становится ancestor экономического графа, а протокол поддерживает следующие связанные функции в одной stateful transaction:</w:t>
      </w:r>
    </w:p>
    <w:p>
      <w:pPr>
        <w:ind w:left="283" w:hanging="283"/>
      </w:pPr>
      <w:r>
        <w:rPr>
          <w:b/>
        </w:rPr>
        <w:t xml:space="preserve">1. </w:t>
      </w:r>
      <w:r>
        <w:t>мгновенная экономическая финальность при гарантированном, допускающем задержку settlement;</w:t>
      </w:r>
    </w:p>
    <w:p>
      <w:pPr>
        <w:ind w:left="283" w:hanging="283"/>
      </w:pPr>
      <w:r>
        <w:rPr>
          <w:b/>
        </w:rPr>
        <w:t xml:space="preserve">2. </w:t>
      </w:r>
      <w:r>
        <w:t>раздельная конкуренция source solvers и settlement solvers;</w:t>
      </w:r>
    </w:p>
    <w:p>
      <w:pPr>
        <w:ind w:left="283" w:hanging="283"/>
      </w:pPr>
      <w:r>
        <w:rPr>
          <w:b/>
        </w:rPr>
        <w:t xml:space="preserve">3. </w:t>
      </w:r>
      <w:r>
        <w:t>формирование композита Energy + official EAC evidence + Intelligence + IP + contractual rights;</w:t>
      </w:r>
    </w:p>
    <w:p>
      <w:pPr>
        <w:ind w:left="283" w:hanging="283"/>
      </w:pPr>
      <w:r>
        <w:rPr>
          <w:b/>
        </w:rPr>
        <w:t xml:space="preserve">4. </w:t>
      </w:r>
      <w:r>
        <w:t>три различных класса маржи в одной root transaction;</w:t>
      </w:r>
    </w:p>
    <w:p>
      <w:pPr>
        <w:ind w:left="283" w:hanging="283"/>
      </w:pPr>
      <w:r>
        <w:rPr>
          <w:b/>
        </w:rPr>
        <w:t xml:space="preserve">5. </w:t>
      </w:r>
      <w:r>
        <w:t>автоматический возврат части verified downstream value энергетическому ancestor;</w:t>
      </w:r>
    </w:p>
    <w:p>
      <w:pPr>
        <w:ind w:left="283" w:hanging="283"/>
      </w:pPr>
      <w:r>
        <w:rPr>
          <w:b/>
        </w:rPr>
        <w:t xml:space="preserve">6. </w:t>
      </w:r>
      <w:r>
        <w:t>рекурсивное размножение descendants при split/merge/production events;</w:t>
      </w:r>
    </w:p>
    <w:p>
      <w:pPr>
        <w:ind w:left="283" w:hanging="283"/>
      </w:pPr>
      <w:r>
        <w:rPr>
          <w:b/>
        </w:rPr>
        <w:t xml:space="preserve">7. </w:t>
      </w:r>
      <w:r>
        <w:t>строгое разделение одноразового official environmental claim и многоциклового Orbital Economic Attribute;</w:t>
      </w:r>
    </w:p>
    <w:p>
      <w:pPr>
        <w:ind w:left="283" w:hanging="283"/>
      </w:pPr>
      <w:r>
        <w:rPr>
          <w:b/>
        </w:rPr>
        <w:t xml:space="preserve">8. </w:t>
      </w:r>
      <w:r>
        <w:t>закрытие root transaction только после терминализации всех активных ветвей по RDR и завершения всех обязательств.</w:t>
      </w:r>
    </w:p>
    <w:p>
      <w:r>
        <w:t>Предварительный поиск не выявил один документ, который явно объединяет весь этот набор вокруг энергетического origin. Это хороший сигнал для дальнейшей работы, но не доказательство мировой новизны.</w:t>
      </w:r>
    </w:p>
    <w:p>
      <w:pPr>
        <w:pStyle w:val="Heading1"/>
      </w:pPr>
      <w:r>
        <w:t>7. Что выводить на патентную защиту</w:t>
      </w:r>
    </w:p>
    <w:p>
      <w:r>
        <w:t>Рекомендуется готовить общий priority package, внутри которого четко выделить несколько изобретательских кластеров. Конкретное разбиение на отдельные заявки, continuations/divisionals и национальные фазы должен определить патентный поверенный после claim chart.</w:t>
      </w:r>
    </w:p>
    <w:p>
      <w:pPr>
        <w:pStyle w:val="Heading2"/>
      </w:pPr>
      <w:r>
        <w:t>7.1. Кластер A: Recursive Energy-Ancestry Ledger</w:t>
      </w:r>
    </w:p>
    <w:p>
      <w:pPr>
        <w:ind w:left="283" w:hanging="170"/>
      </w:pPr>
      <w:r>
        <w:t>•  Root Transaction ID привязывает energy origin к descendants независимо от числа стадий преобразования.</w:t>
      </w:r>
    </w:p>
    <w:p>
      <w:pPr>
        <w:ind w:left="283" w:hanging="170"/>
      </w:pPr>
      <w:r>
        <w:t>•  Каждый production / split / merge / sale event создает или изменяет ancestry graph.</w:t>
      </w:r>
    </w:p>
    <w:p>
      <w:pPr>
        <w:ind w:left="283" w:hanging="170"/>
      </w:pPr>
      <w:r>
        <w:t>•  Каждый verified economic event вычисляет upstream return по заранее заданному или динамическому royalty stack.</w:t>
      </w:r>
    </w:p>
    <w:p>
      <w:pPr>
        <w:ind w:left="283" w:hanging="170"/>
      </w:pPr>
      <w:r>
        <w:t>•  Энергетический seller сохраняется как root economic ancestor.</w:t>
      </w:r>
    </w:p>
    <w:p>
      <w:pPr>
        <w:ind w:left="283" w:hanging="170"/>
      </w:pPr>
      <w:r>
        <w:t>•  Root closure зависит от состояния всех descendant leaves и незавершенных obligations.</w:t>
      </w:r>
    </w:p>
    <w:p>
      <w:r>
        <w:t>Это выглядит наиболее сильным ядром Orbital Energy.</w:t>
      </w:r>
    </w:p>
    <w:p>
      <w:pPr>
        <w:pStyle w:val="Heading2"/>
      </w:pPr>
      <w:r>
        <w:t>7.2. Кластер B: Three-Margin Transaction Engine</w:t>
      </w:r>
    </w:p>
    <w:p>
      <w:pPr>
        <w:ind w:left="283" w:hanging="170"/>
      </w:pPr>
      <w:r>
        <w:t>•  Margin I: первичная energy margin относительно benchmark и execution price.</w:t>
      </w:r>
    </w:p>
    <w:p>
      <w:pPr>
        <w:ind w:left="283" w:hanging="170"/>
      </w:pPr>
      <w:r>
        <w:t>•  Margin II: verified profit, связанный с intelligence/IP layer, с downstream-to-upstream return.</w:t>
      </w:r>
    </w:p>
    <w:p>
      <w:pPr>
        <w:ind w:left="283" w:hanging="170"/>
      </w:pPr>
      <w:r>
        <w:t>•  Margin III: recursive cascade margin на последующих product/value events.</w:t>
      </w:r>
    </w:p>
    <w:p>
      <w:pPr>
        <w:ind w:left="283" w:hanging="170"/>
      </w:pPr>
      <w:r>
        <w:t>•  Все три маржи рассчитываются и аудируются внутри одной root transaction и используют один ancestry graph.</w:t>
      </w:r>
    </w:p>
    <w:p>
      <w:r>
        <w:t>Для патентоспособности формулу следует привязать к технической обработке state transitions, data lineage, verification events, oracle inputs и автоматическим ledger postings, а не оставлять ее как абстрактное финансовое правило.</w:t>
      </w:r>
    </w:p>
    <w:p>
      <w:pPr>
        <w:pStyle w:val="Heading2"/>
      </w:pPr>
      <w:r>
        <w:t>7.3. Кластер C: Dual Finality + Competitive Settlement</w:t>
      </w:r>
    </w:p>
    <w:p>
      <w:pPr>
        <w:ind w:left="283" w:hanging="170"/>
      </w:pPr>
      <w:r>
        <w:t>•  Economic fill становится окончательным при выполнении guarantee condition.</w:t>
      </w:r>
    </w:p>
    <w:p>
      <w:pPr>
        <w:ind w:left="283" w:hanging="170"/>
      </w:pPr>
      <w:r>
        <w:t>•  Cash/accounting/registry settlement может наступить позднее без изменения экономической цены сделки.</w:t>
      </w:r>
    </w:p>
    <w:p>
      <w:pPr>
        <w:ind w:left="283" w:hanging="170"/>
      </w:pPr>
      <w:r>
        <w:t>•  Source execution и settlement execution выбираются независимыми solver competitions.</w:t>
      </w:r>
    </w:p>
    <w:p>
      <w:pPr>
        <w:ind w:left="283" w:hanging="170"/>
      </w:pPr>
      <w:r>
        <w:t>•  Ledger хранит стоимость каждого solver path и может маршрутизировать settlement между юрисдикциями и инфраструктурами.</w:t>
      </w:r>
    </w:p>
    <w:p>
      <w:r>
        <w:t>JPMorgan и CoW создают сильный фон, поэтому нужно формулировать именно сочетание dual finality, guarantee-backed energy intent и разделенных solver markets.</w:t>
      </w:r>
    </w:p>
    <w:p>
      <w:pPr>
        <w:pStyle w:val="Heading2"/>
      </w:pPr>
      <w:r>
        <w:t>7.4. Кластер D: Official Claim / Economic Attribute Separation</w:t>
      </w:r>
    </w:p>
    <w:p>
      <w:pPr>
        <w:ind w:left="283" w:hanging="170"/>
      </w:pPr>
      <w:r>
        <w:t>•  Official EAC имеет собственный registry state и одноразовый claim lifecycle.</w:t>
      </w:r>
    </w:p>
    <w:p>
      <w:pPr>
        <w:ind w:left="283" w:hanging="170"/>
      </w:pPr>
      <w:r>
        <w:t>•  После retirement EAC остается provenance evidence и не используется как повторный environmental claim.</w:t>
      </w:r>
    </w:p>
    <w:p>
      <w:pPr>
        <w:ind w:left="283" w:hanging="170"/>
      </w:pPr>
      <w:r>
        <w:t>•  Orbital Economic Attribute создается как отдельный договорный объект и наследуется downstream products.</w:t>
      </w:r>
    </w:p>
    <w:p>
      <w:pPr>
        <w:ind w:left="283" w:hanging="170"/>
      </w:pPr>
      <w:r>
        <w:t>•  Протокол предотвращает double claim, но сохраняет recursive economic return.</w:t>
      </w:r>
    </w:p>
    <w:p>
      <w:r>
        <w:t>Этот кластер важен одновременно для патента, compliance и дальнейшей коммерческой документации.</w:t>
      </w:r>
    </w:p>
    <w:p>
      <w:pPr>
        <w:pStyle w:val="Heading2"/>
      </w:pPr>
      <w:r>
        <w:t>7.5. RDR как зависимый механизм</w:t>
      </w:r>
    </w:p>
    <w:p>
      <w:r>
        <w:t>RDR: Retired, Destroyed, Recycled следует включать в описание и зависимые пункты как state machine завершения ветвей. Самостоятельная широкая патентная идея lifecycle retirement/destruction уже имеет prior art. Более интересна связь RDR с recursive ancestry, outstanding rights и автоматическим root closure.</w:t>
      </w:r>
    </w:p>
    <w:p>
      <w:pPr>
        <w:pStyle w:val="Heading1"/>
      </w:pPr>
      <w:r>
        <w:t>8. Что нужно докрутить до подачи</w:t>
      </w:r>
    </w:p>
    <w:p>
      <w:pPr>
        <w:ind w:left="283" w:hanging="283"/>
      </w:pPr>
      <w:r>
        <w:rPr>
          <w:b/>
        </w:rPr>
        <w:t xml:space="preserve">1. Формальная онтология активов. </w:t>
      </w:r>
      <w:r>
        <w:t>Однозначно определить Energy Unit, Official EAC, Provenance Attribute, Orbital Economic Attribute, IP Right, Intelligence Module, Product Node, Profit Event, Royalty Right, Guarantee, Settlement Obligation.</w:t>
      </w:r>
    </w:p>
    <w:p>
      <w:pPr>
        <w:ind w:left="283" w:hanging="283"/>
      </w:pPr>
      <w:r>
        <w:rPr>
          <w:b/>
        </w:rPr>
        <w:t xml:space="preserve">2. State machine. </w:t>
      </w:r>
      <w:r>
        <w:t>Зафиксировать допустимые переходы состояний и запрет невозможных переходов. Отдельно описать root, branch и leaf states.</w:t>
      </w:r>
    </w:p>
    <w:p>
      <w:pPr>
        <w:ind w:left="283" w:hanging="283"/>
      </w:pPr>
      <w:r>
        <w:rPr>
          <w:b/>
        </w:rPr>
        <w:t xml:space="preserve">3. Split / merge math. </w:t>
      </w:r>
      <w:r>
        <w:t>Как 1 MWh ancestry распределяется между 10 000 товаров; как несколько energy origins объединяются в один product; как считать доли при recycle.</w:t>
      </w:r>
    </w:p>
    <w:p>
      <w:pPr>
        <w:ind w:left="283" w:hanging="283"/>
      </w:pPr>
      <w:r>
        <w:rPr>
          <w:b/>
        </w:rPr>
        <w:t xml:space="preserve">4. Royalty stack. </w:t>
      </w:r>
      <w:r>
        <w:t>Правила Margin II / III: фиксированный процент, абсолютный процент, каскад, ceiling, dilution, minimum return, приоритеты разных ancestors.</w:t>
      </w:r>
    </w:p>
    <w:p>
      <w:pPr>
        <w:ind w:left="283" w:hanging="283"/>
      </w:pPr>
      <w:r>
        <w:rPr>
          <w:b/>
        </w:rPr>
        <w:t xml:space="preserve">5. Verified Profit oracle. </w:t>
      </w:r>
      <w:r>
        <w:t>Кто и как подтверждает экономический эффект интеллекта и патентов. Какие baseline, counterfactual, time window, audit rights и dispute procedure.</w:t>
      </w:r>
    </w:p>
    <w:p>
      <w:pPr>
        <w:ind w:left="283" w:hanging="283"/>
      </w:pPr>
      <w:r>
        <w:rPr>
          <w:b/>
        </w:rPr>
        <w:t xml:space="preserve">6. Guarantee model. </w:t>
      </w:r>
      <w:r>
        <w:t>Credit line, escrow, bank guarantee, stable settlement asset, clearing member, insurance или иной механизм, который делает economic fill мгновенно надежным.</w:t>
      </w:r>
    </w:p>
    <w:p>
      <w:pPr>
        <w:ind w:left="283" w:hanging="283"/>
      </w:pPr>
      <w:r>
        <w:rPr>
          <w:b/>
        </w:rPr>
        <w:t xml:space="preserve">7. Settlement solver interface. </w:t>
      </w:r>
      <w:r>
        <w:t>Минимальный API: цена settlement, FX, срок, документы, tax route, registry operation, jurisdiction, accounting evidence, failure bond.</w:t>
      </w:r>
    </w:p>
    <w:p>
      <w:pPr>
        <w:ind w:left="283" w:hanging="283"/>
      </w:pPr>
      <w:r>
        <w:rPr>
          <w:b/>
        </w:rPr>
        <w:t xml:space="preserve">8. Compliance wall. </w:t>
      </w:r>
      <w:r>
        <w:t>Механизм, который запрещает повторное использование retired official EAC как environmental claim и сохраняет его только как historical provenance evidence.</w:t>
      </w:r>
    </w:p>
    <w:p>
      <w:pPr>
        <w:ind w:left="283" w:hanging="283"/>
      </w:pPr>
      <w:r>
        <w:rPr>
          <w:b/>
        </w:rPr>
        <w:t xml:space="preserve">9. RDR evidence. </w:t>
      </w:r>
      <w:r>
        <w:t>Какие события и доказательства достаточны для Retired, Destroyed, Recycled; кто имеет право установить состояние; как обрабатываются споры и ошибочные terminal events.</w:t>
      </w:r>
    </w:p>
    <w:p>
      <w:pPr>
        <w:ind w:left="283" w:hanging="283"/>
      </w:pPr>
      <w:r>
        <w:rPr>
          <w:b/>
        </w:rPr>
        <w:t xml:space="preserve">10. Data model и hashes. </w:t>
      </w:r>
      <w:r>
        <w:t>Canonical schema, immutable event log, signatures, versioning, parent-child IDs, timestamps, oracle proofs и cross-registry references.</w:t>
      </w:r>
    </w:p>
    <w:p>
      <w:pPr>
        <w:ind w:left="283" w:hanging="283"/>
      </w:pPr>
      <w:r>
        <w:rPr>
          <w:b/>
        </w:rPr>
        <w:t xml:space="preserve">11. Patent claim chart. </w:t>
      </w:r>
      <w:r>
        <w:t>Для каждого элемента Orbital Energy сопоставить claims найденных патентов и убрать формулировки, которые уже заняты. Отдельно проверить семейства JPMorgan, BASF, Carbon Finance Labs, CopyForward и Moog.</w:t>
      </w:r>
    </w:p>
    <w:p>
      <w:pPr>
        <w:ind w:left="283" w:hanging="283"/>
      </w:pPr>
      <w:r>
        <w:rPr>
          <w:b/>
        </w:rPr>
        <w:t xml:space="preserve">12. Prototype evidence. </w:t>
      </w:r>
      <w:r>
        <w:t>Реализовать минимальный работающий ledger на реальной тестовой корзине и сохранить timestamps, transaction schemas, solver bids и state transitions как доказательство технической конкретики.</w:t>
      </w:r>
    </w:p>
    <w:p>
      <w:pPr>
        <w:pStyle w:val="Heading1"/>
      </w:pPr>
      <w:r>
        <w:t>9. Минимальный пилот Orbital Energy</w:t>
      </w:r>
    </w:p>
    <w:p>
      <w:r>
        <w:t>Для первой технической демонстрации подходит уже сформированная тестовая корзина: 10 китайских GEC и 2 индийских REC, всего 12 MWh official renewable attributes. Китайский GEC соответствует 1000 kWh renewable electricity, индийский REC в базовом случае соответствует 1 MWh с учетом правил technology multiplier. [1][2]</w:t>
      </w:r>
    </w:p>
    <w:p>
      <w:r>
        <w:t>Пилот должен доказать механику ledger, а не масштаб бизнеса. Минимальный сценарий:</w:t>
      </w:r>
    </w:p>
    <w:p>
      <w:pPr>
        <w:ind w:left="283" w:hanging="283"/>
      </w:pPr>
      <w:r>
        <w:rPr>
          <w:b/>
        </w:rPr>
        <w:t xml:space="preserve">1. </w:t>
      </w:r>
      <w:r>
        <w:t>создать BUY_INTENT с ограничениями origin/vintage/technology;</w:t>
      </w:r>
    </w:p>
    <w:p>
      <w:pPr>
        <w:ind w:left="283" w:hanging="283"/>
      </w:pPr>
      <w:r>
        <w:rPr>
          <w:b/>
        </w:rPr>
        <w:t xml:space="preserve">2. </w:t>
      </w:r>
      <w:r>
        <w:t>получить минимум два source bids и два settlement bids;</w:t>
      </w:r>
    </w:p>
    <w:p>
      <w:pPr>
        <w:ind w:left="283" w:hanging="283"/>
      </w:pPr>
      <w:r>
        <w:rPr>
          <w:b/>
        </w:rPr>
        <w:t xml:space="preserve">3. </w:t>
      </w:r>
      <w:r>
        <w:t>зафиксировать guarantee-backed economic fill до фактического движения денег;</w:t>
      </w:r>
    </w:p>
    <w:p>
      <w:pPr>
        <w:ind w:left="283" w:hanging="283"/>
      </w:pPr>
      <w:r>
        <w:rPr>
          <w:b/>
        </w:rPr>
        <w:t xml:space="preserve">4. </w:t>
      </w:r>
      <w:r>
        <w:t>довести официальный EAC settlement / redemption / 核销 по правилам соответствующей системы;</w:t>
      </w:r>
    </w:p>
    <w:p>
      <w:pPr>
        <w:ind w:left="283" w:hanging="283"/>
      </w:pPr>
      <w:r>
        <w:rPr>
          <w:b/>
        </w:rPr>
        <w:t xml:space="preserve">5. </w:t>
      </w:r>
      <w:r>
        <w:t>создать отдельный Orbital Economic Attribute и provenance record;</w:t>
      </w:r>
    </w:p>
    <w:p>
      <w:pPr>
        <w:ind w:left="283" w:hanging="283"/>
      </w:pPr>
      <w:r>
        <w:rPr>
          <w:b/>
        </w:rPr>
        <w:t xml:space="preserve">6. </w:t>
      </w:r>
      <w:r>
        <w:t>привязать к нему Intelligence/IP module;</w:t>
      </w:r>
    </w:p>
    <w:p>
      <w:pPr>
        <w:ind w:left="283" w:hanging="283"/>
      </w:pPr>
      <w:r>
        <w:rPr>
          <w:b/>
        </w:rPr>
        <w:t xml:space="preserve">7. </w:t>
      </w:r>
      <w:r>
        <w:t>создать один проверяемый Margin II event;</w:t>
      </w:r>
    </w:p>
    <w:p>
      <w:pPr>
        <w:ind w:left="283" w:hanging="283"/>
      </w:pPr>
      <w:r>
        <w:rPr>
          <w:b/>
        </w:rPr>
        <w:t xml:space="preserve">8. </w:t>
      </w:r>
      <w:r>
        <w:t>создать минимум два descendant product nodes и один Margin III event;</w:t>
      </w:r>
    </w:p>
    <w:p>
      <w:pPr>
        <w:ind w:left="283" w:hanging="283"/>
      </w:pPr>
      <w:r>
        <w:rPr>
          <w:b/>
        </w:rPr>
        <w:t xml:space="preserve">9. </w:t>
      </w:r>
      <w:r>
        <w:t>закрыть одну ветвь RETIRED, одну DESTROYED и одну RECYCLED с successor branch;</w:t>
      </w:r>
    </w:p>
    <w:p>
      <w:pPr>
        <w:ind w:left="283" w:hanging="283"/>
      </w:pPr>
      <w:r>
        <w:rPr>
          <w:b/>
        </w:rPr>
        <w:t xml:space="preserve">10. </w:t>
      </w:r>
      <w:r>
        <w:t>показать, что Root остается OPEN до терминализации последнего активного successor и исполнения всех return obligations.</w:t>
      </w:r>
    </w:p>
    <w:p>
      <w:pPr>
        <w:pStyle w:val="Heading1"/>
      </w:pPr>
      <w:r>
        <w:t>10. Ближайшие действия</w:t>
      </w:r>
    </w:p>
    <w:p>
      <w:r>
        <w:t>До широкого раскрытия технической реализации целесообразно подготовить пакет первичного приоритета. В него должны войти архитектурные схемы, state machine, data schema, математические правила трех маржей, recursive return, dual finality, split/merge и RDR closure.</w:t>
      </w:r>
    </w:p>
    <w:p>
      <w:r>
        <w:t>Практическая последовательность работы:</w:t>
      </w:r>
    </w:p>
    <w:p>
      <w:pPr>
        <w:ind w:left="283" w:hanging="283"/>
      </w:pPr>
      <w:r>
        <w:rPr>
          <w:b/>
        </w:rPr>
        <w:t xml:space="preserve">1. </w:t>
      </w:r>
      <w:r>
        <w:t>оформить Invention Disclosure Orbital Energy на 15-25 страниц с авторами, датой, проблемой, архитектурой и вариантами реализации;</w:t>
      </w:r>
    </w:p>
    <w:p>
      <w:pPr>
        <w:ind w:left="283" w:hanging="283"/>
      </w:pPr>
      <w:r>
        <w:rPr>
          <w:b/>
        </w:rPr>
        <w:t xml:space="preserve">2. </w:t>
      </w:r>
      <w:r>
        <w:t>собрать claim chart по ключевым prior-art документам из раздела 5;</w:t>
      </w:r>
    </w:p>
    <w:p>
      <w:pPr>
        <w:ind w:left="283" w:hanging="283"/>
      </w:pPr>
      <w:r>
        <w:rPr>
          <w:b/>
        </w:rPr>
        <w:t xml:space="preserve">3. </w:t>
      </w:r>
      <w:r>
        <w:t>написать 3-4 независимых направления claims: method, system, computer-readable medium / data structure;</w:t>
      </w:r>
    </w:p>
    <w:p>
      <w:pPr>
        <w:ind w:left="283" w:hanging="283"/>
      </w:pPr>
      <w:r>
        <w:rPr>
          <w:b/>
        </w:rPr>
        <w:t xml:space="preserve">4. </w:t>
      </w:r>
      <w:r>
        <w:t>реализовать ledger v0.1 на тестовой корзине 12 MWh;</w:t>
      </w:r>
    </w:p>
    <w:p>
      <w:pPr>
        <w:ind w:left="283" w:hanging="283"/>
      </w:pPr>
      <w:r>
        <w:rPr>
          <w:b/>
        </w:rPr>
        <w:t xml:space="preserve">5. </w:t>
      </w:r>
      <w:r>
        <w:t>после подачи первичного приоритета расширять публичное описание и проводить международный поиск / FTO.</w:t>
      </w:r>
    </w:p>
    <w:p>
      <w:pPr>
        <w:pStyle w:val="Heading1"/>
      </w:pPr>
      <w:r>
        <w:t>11. Итог</w:t>
      </w:r>
    </w:p>
    <w:p>
      <w:r>
        <w:t>Orbital Energy находится в зоне, где отдельные строительные блоки уже хорошо известны, а конкретная сборка может дать самостоятельное изобретательское ядро. Наиболее опасный prior art касается токенизации и settlement renewable attributes, переноса sustainability attributes в продукты, product lifecycle provenance и forward royalties.</w:t>
      </w:r>
    </w:p>
    <w:p>
      <w:r>
        <w:t>Наиболее перспективная патентная позиция Orbital Energy: единая энергетическая root transaction с двумя моментами финальности, раздельными solver competitions, тремя классами маржи, recursive upstream return к energy ancestor, разделением official environmental claim и persistent economic attribute, а также closure по всему descendant graph через RDR.</w:t>
      </w:r>
    </w:p>
    <w:p>
      <w:r>
        <w:t>Следующая версия документа должна уже содержать формальную спецификацию протокола и черновой claim chart. После этого Orbital Energy можно переводить из концепции в патентуемую техническую систему.</w:t>
      </w:r>
    </w:p>
    <w:p>
      <w:pPr>
        <w:pStyle w:val="Heading1"/>
      </w:pPr>
      <w:r>
        <w:t>Источники и prior art</w:t>
      </w:r>
    </w:p>
    <w:p>
      <w:pPr>
        <w:pStyle w:val="Small"/>
        <w:ind w:left="283" w:hanging="283"/>
      </w:pPr>
      <w:r>
        <w:rPr>
          <w:b/>
        </w:rPr>
        <w:t xml:space="preserve">[1] </w:t>
      </w:r>
      <w:r>
        <w:t xml:space="preserve">Renewable Energy Certificate Registry of India. About REC Framework / FAQs. 1 REC generally represents 1 MWh; registry records issuance, trade and redemption. </w:t>
      </w:r>
      <w:r>
        <w:rPr>
          <w:u w:val="single"/>
        </w:rPr>
        <w:t>https://www.recregistryindia.nic.in/index.php/publics/AboutREC</w:t>
      </w:r>
    </w:p>
    <w:p>
      <w:pPr>
        <w:pStyle w:val="Small"/>
        <w:ind w:left="283" w:hanging="283"/>
      </w:pPr>
      <w:r>
        <w:rPr>
          <w:b/>
        </w:rPr>
        <w:t xml:space="preserve">[2] </w:t>
      </w:r>
      <w:r>
        <w:t xml:space="preserve">National Energy Administration / NDRC, China. Green Electricity Certificate framework. GEC is the unique evidence of renewable electricity environmental attributes; 1 GEC = 1000 kWh. </w:t>
      </w:r>
      <w:r>
        <w:rPr>
          <w:u w:val="single"/>
        </w:rPr>
        <w:t>https://zfxxgk.nea.gov.cn/2023-07/25/c_1310735434.htm</w:t>
      </w:r>
    </w:p>
    <w:p>
      <w:pPr>
        <w:pStyle w:val="Small"/>
        <w:ind w:left="283" w:hanging="283"/>
      </w:pPr>
      <w:r>
        <w:rPr>
          <w:b/>
        </w:rPr>
        <w:t xml:space="preserve">[3] </w:t>
      </w:r>
      <w:r>
        <w:t xml:space="preserve">U.S. EPA. Energy Attribute Certificates and Double Counting. Retirement prevents further transfer and supports a unique environmental claim. </w:t>
      </w:r>
      <w:r>
        <w:rPr>
          <w:u w:val="single"/>
        </w:rPr>
        <w:t>https://www.epa.gov/green-power-markets/energy-attribute-certificates-eacs</w:t>
      </w:r>
    </w:p>
    <w:p>
      <w:pPr>
        <w:pStyle w:val="Small"/>
        <w:ind w:left="283" w:hanging="283"/>
      </w:pPr>
      <w:r>
        <w:rPr>
          <w:b/>
        </w:rPr>
        <w:t xml:space="preserve">[4] </w:t>
      </w:r>
      <w:r>
        <w:t xml:space="preserve">JPMorgan Chase Bank N.A. US11544788B1. Systems and methods for tokenization, management, trading, settlement, and retirement of renewable energy attributes. Priority 2019-11-01. </w:t>
      </w:r>
      <w:r>
        <w:rPr>
          <w:u w:val="single"/>
        </w:rPr>
        <w:t>https://patents.google.com/patent/US11544788B1/en</w:t>
      </w:r>
    </w:p>
    <w:p>
      <w:pPr>
        <w:pStyle w:val="Small"/>
        <w:ind w:left="283" w:hanging="283"/>
      </w:pPr>
      <w:r>
        <w:rPr>
          <w:b/>
        </w:rPr>
        <w:t xml:space="preserve">[5] </w:t>
      </w:r>
      <w:r>
        <w:t xml:space="preserve">BASF SE. WO2025181018A1. System and method for monitoring and attributing sustainability attributes associated with energy. Priority 2024-02-26. </w:t>
      </w:r>
      <w:r>
        <w:rPr>
          <w:u w:val="single"/>
        </w:rPr>
        <w:t>https://patents.google.com/patent/WO2025181018A1/en</w:t>
      </w:r>
    </w:p>
    <w:p>
      <w:pPr>
        <w:pStyle w:val="Small"/>
        <w:ind w:left="283" w:hanging="283"/>
      </w:pPr>
      <w:r>
        <w:rPr>
          <w:b/>
        </w:rPr>
        <w:t xml:space="preserve">[6] </w:t>
      </w:r>
      <w:r>
        <w:t xml:space="preserve">Carbon Finance Labs LLC. EP4406213A1. System and method for carbon management lifecycle management and application programming interface. Priority 2021-09-22. </w:t>
      </w:r>
      <w:r>
        <w:rPr>
          <w:u w:val="single"/>
        </w:rPr>
        <w:t>https://patents.google.com/patent/EP4406213A1/en</w:t>
      </w:r>
    </w:p>
    <w:p>
      <w:pPr>
        <w:pStyle w:val="Small"/>
        <w:ind w:left="283" w:hanging="283"/>
      </w:pPr>
      <w:r>
        <w:rPr>
          <w:b/>
        </w:rPr>
        <w:t xml:space="preserve">[7] </w:t>
      </w:r>
      <w:r>
        <w:t xml:space="preserve">UN Transparency Protocol (UNECE). Chain of Custody / Book-and-Claim design pattern. Credit transfer, retirement in manufacturing and evidence linked to downstream product passport. </w:t>
      </w:r>
      <w:r>
        <w:rPr>
          <w:u w:val="single"/>
        </w:rPr>
        <w:t>https://untp.unece.org/docs/0.6.0/design-patterns/ChainOfCustody/</w:t>
      </w:r>
    </w:p>
    <w:p>
      <w:pPr>
        <w:pStyle w:val="Small"/>
        <w:ind w:left="283" w:hanging="283"/>
      </w:pPr>
      <w:r>
        <w:rPr>
          <w:b/>
        </w:rPr>
        <w:t xml:space="preserve">[8] </w:t>
      </w:r>
      <w:r>
        <w:t xml:space="preserve">CoW Protocol. Intent-based trading and solver competition. </w:t>
      </w:r>
      <w:r>
        <w:rPr>
          <w:u w:val="single"/>
        </w:rPr>
        <w:t>https://cow.fi/cow-protocol</w:t>
      </w:r>
    </w:p>
    <w:p>
      <w:pPr>
        <w:pStyle w:val="Small"/>
        <w:ind w:left="283" w:hanging="283"/>
      </w:pPr>
      <w:r>
        <w:rPr>
          <w:b/>
        </w:rPr>
        <w:t xml:space="preserve">[9] </w:t>
      </w:r>
      <w:r>
        <w:t xml:space="preserve">Story Protocol. Royalty Module. Ancestry graph, royalty stack and revenue distribution from descendants to ancestors. </w:t>
      </w:r>
      <w:r>
        <w:rPr>
          <w:u w:val="single"/>
        </w:rPr>
        <w:t>https://docs.story.foundation/concepts/royalty-module</w:t>
      </w:r>
    </w:p>
    <w:p>
      <w:pPr>
        <w:pStyle w:val="Small"/>
        <w:ind w:left="283" w:hanging="283"/>
      </w:pPr>
      <w:r>
        <w:rPr>
          <w:b/>
        </w:rPr>
        <w:t xml:space="preserve">[10] </w:t>
      </w:r>
      <w:r>
        <w:t xml:space="preserve">CopyForward Inc. US11514410B1. Method and system for recording forward royalties using a distributed ledger. Priority 2021-05-18. </w:t>
      </w:r>
      <w:r>
        <w:rPr>
          <w:u w:val="single"/>
        </w:rPr>
        <w:t>https://patents.google.com/patent/US11514410B1/en</w:t>
      </w:r>
    </w:p>
    <w:p>
      <w:pPr>
        <w:pStyle w:val="Small"/>
        <w:ind w:left="283" w:hanging="283"/>
      </w:pPr>
      <w:r>
        <w:rPr>
          <w:b/>
        </w:rPr>
        <w:t xml:space="preserve">[11] </w:t>
      </w:r>
      <w:r>
        <w:t xml:space="preserve">Moog Inc. US11107168B2 family. Secure and traceable manufactured parts. Priority 2016-05-20. Product provenance, multi-tier suppliers and compensation for contributed IP. </w:t>
      </w:r>
      <w:r>
        <w:rPr>
          <w:u w:val="single"/>
        </w:rPr>
        <w:t>https://patents.google.com/patent/US11107168B2/en</w:t>
      </w:r>
    </w:p>
    <w:p>
      <w:pPr>
        <w:pStyle w:val="Small"/>
        <w:ind w:left="283" w:hanging="283"/>
      </w:pPr>
      <w:r>
        <w:rPr>
          <w:b/>
        </w:rPr>
        <w:t xml:space="preserve">[12] </w:t>
      </w:r>
      <w:r>
        <w:t xml:space="preserve">US11256799B2. Device lifecycle distributed ledger. Lifecycle history includes end-of-life, destruction, repair and refurbishment. </w:t>
      </w:r>
      <w:r>
        <w:rPr>
          <w:u w:val="single"/>
        </w:rPr>
        <w:t>https://patents.google.com/patent/US11256799B2/en</w:t>
      </w:r>
    </w:p>
    <w:p>
      <w:pPr>
        <w:spacing w:before="240"/>
        <w:pBdr>
          <w:top w:val="single" w:sz="4" w:color="808080"/>
        </w:pBdr>
      </w:pPr>
    </w:p>
    <w:p>
      <w:pPr>
        <w:pStyle w:val="Small"/>
      </w:pPr>
      <w:r>
        <w:t>ORBITAL ENERGY // VERSION 0.1 // 30 AUG 2026</w:t>
      </w:r>
    </w:p>
    <w:p>
      <w:r>
        <w:br w:type="page"/>
      </w:r>
    </w:p>
    <w:p>
      <w:pPr>
        <w:spacing w:before="0" w:after="100" w:line="252" w:lineRule="auto"/>
      </w:pPr>
      <w:r>
        <w:rPr>
          <w:rFonts w:ascii="Cambria" w:hAnsi="Cambria"/>
          <w:b/>
          <w:sz w:val="21"/>
        </w:rPr>
        <w:t>ПРИЛОЖЕНИЕ 1</w:t>
      </w:r>
    </w:p>
    <w:p>
      <w:pPr>
        <w:spacing w:before="0" w:after="140" w:line="252" w:lineRule="auto"/>
      </w:pPr>
      <w:r>
        <w:rPr>
          <w:rFonts w:ascii="Cambria" w:hAnsi="Cambria"/>
          <w:b/>
          <w:sz w:val="28"/>
        </w:rPr>
        <w:t>ИСХОДНЫЙ ПРОТОКОЛ ФОРМИРОВАНИЯ ORBITAL ENERGY</w:t>
      </w:r>
    </w:p>
    <w:p>
      <w:pPr>
        <w:spacing w:before="0" w:after="240" w:line="252" w:lineRule="auto"/>
      </w:pPr>
      <w:r>
        <w:rPr>
          <w:rFonts w:ascii="Cambria" w:hAnsi="Cambria"/>
          <w:b w:val="0"/>
          <w:sz w:val="20"/>
        </w:rPr>
        <w:t>30 августа 2026 года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Назначение приложения: зафиксировать последовательность исходных команд и коротких ответов, из которых в разговоре была собрана архитектура Orbital Energy. Формулировки намеренно оставлены простыми. Это рабочий протокол происхождения концепции, а не патентная формула и не юридическое описание.</w:t>
      </w:r>
    </w:p>
    <w:p>
      <w:pPr>
        <w:pStyle w:val="Heading2"/>
        <w:spacing w:before="180" w:after="80"/>
      </w:pPr>
      <w:r>
        <w:t>1. Купить настоящую зеленую энергию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Нужно купить зеленый атрибут: 1 МВт·ч в Индии и 1 МВт·ч в Китае. Нужна истинная зеленая энергия, с понятным происхождением.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В Индии базовый официальный инструмент - REC. В Китае - GEC. Для чистой сделки нужно видеть источник генерации, vintage, серийный номер и корректное погашение сертификата.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В Orbital Energy исходный энергетический объект должен иметь проверяемый origin и официальный environmental attribute.</w:t>
      </w:r>
    </w:p>
    <w:p>
      <w:pPr>
        <w:pStyle w:val="Heading2"/>
        <w:spacing w:before="180" w:after="80"/>
      </w:pPr>
      <w:r>
        <w:t>2. Понять стоимость атрибута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Посчитать, сколько такой зеленый атрибут стоит в рублях.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Сам сертификат оказался очень дешевым относительно стоимости электроэнергии и последующей экономики продукта. Китайский GEC измеряется десятками рублей за МВт·ч, индийский REC - сотнями рублей за МВт·ч по найденным рыночным ориентирам.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Стоимость самого сертификата не является главным источником экономики Orbital Energy. Основная ценность возникает дальше по цепочке.</w:t>
      </w:r>
    </w:p>
    <w:p>
      <w:pPr>
        <w:pStyle w:val="Heading2"/>
        <w:spacing w:before="180" w:after="80"/>
      </w:pPr>
      <w:r>
        <w:t>3. Собрать первую тестовую корзину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Купить 10 китайских и 2 индийских сертификата.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Получается тестовая корзина на 12 МВт·ч: 10 МВт·ч Китай и 2 МВт·ч Индия.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Первая практическая проверка Orbital Energy должна идти на небольшой трансграничной корзине с полностью прослеживаемыми атрибутами.</w:t>
      </w:r>
    </w:p>
    <w:p>
      <w:pPr>
        <w:pStyle w:val="Heading2"/>
        <w:spacing w:before="180" w:after="80"/>
      </w:pPr>
      <w:r>
        <w:t>4. Создать ledger заявок и сделок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Нужен ledger, который учитывает заявки на покупку и продажу. Пользователь должен иметь возможность сказать: «Купи мне оттуда столько-то». Дальше агенты соревнуются, кто дешевле найдет источник и кто дешевле проведет settlement.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Ledger фиксирует intent пользователя, принимает конкурирующие bids, выбирает исполнение и хранит всю дальнейшую историю сделки.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Базовая последовательность: Intent -&gt; Bids -&gt; Fill -&gt; Guarantee -&gt; Settlement -&gt; Accounting.</w:t>
      </w:r>
    </w:p>
    <w:p>
      <w:pPr>
        <w:pStyle w:val="Heading2"/>
        <w:spacing w:before="180" w:after="80"/>
      </w:pPr>
      <w:r>
        <w:t>5. Отделить покупку от движения денег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Покупка должна совершаться сразу. Фактическое движение денег и бухгалтерское оформление могут произойти позже, если платеж гарантирован.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Вводятся два момента финальности: economic finality и settlement finality. Экономическая сделка фиксируется сразу. Расчеты, документы и локальное оформление завершаются отдельным слоем.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Sourcing и settlement становятся независимыми конкурентными процессами. Пользователь не обязан ждать банковского и бухгалтерского завершения, чтобы считать покупку совершенной.</w:t>
      </w:r>
    </w:p>
    <w:p>
      <w:pPr>
        <w:pStyle w:val="Heading2"/>
        <w:spacing w:before="180" w:after="80"/>
      </w:pPr>
      <w:r>
        <w:t>6. Собрать композитный продукт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После покупки энергия смешивается с интеллектом и патентами. Получается композитный материал, который передается клиентам.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В ledger нужно раздельно учитывать Energy, Environmental Attribute, Intelligence, IP и Economic Rights, сохраняя их общую связь через одну корневую транзакцию.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Orbital Energy работает с композитом прав и происхождения. Официальные экологические права и последующие экономические права должны оставаться различимыми.</w:t>
      </w:r>
    </w:p>
    <w:p>
      <w:pPr>
        <w:pStyle w:val="Heading2"/>
        <w:spacing w:before="180" w:after="80"/>
      </w:pPr>
      <w:r>
        <w:t>7. Сделать клиенту скидку и получить первую маржу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Энергетический вход покупается с дисконтом 33% от средней покупной цены X5. Половина этого дисконта остается системе, половина реализуется в X5.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Если benchmark принять за 100, целевой вход равен 67, цена для X5 - 83,5. X5 получает 16,5 экономии, система получает базовые 16,5 до учета дополнительной sourcing alpha.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Это Margin I - первичная энергетическая маржа.</w:t>
      </w:r>
    </w:p>
    <w:p>
      <w:pPr>
        <w:pStyle w:val="Heading2"/>
        <w:spacing w:before="180" w:after="80"/>
      </w:pPr>
      <w:r>
        <w:t>8. Вернуть продавцу часть результата интеллекта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После внедрения нужно посмотреть, какую пользу принесли интеллект и патенты. Из подтвержденного profit часть дохода возвращается продавцу исходной энергии. Для него появляется следующая маржа.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Исходный продавец сохраняет экономическую связь с результатом, который возник после первичной продажи энергии. Ledger должен знать размер verified benefit и правила обратного распределения.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Это Margin II - маржа от подтвержденного результата Intelligence / IP layer.</w:t>
      </w:r>
    </w:p>
    <w:p>
      <w:pPr>
        <w:pStyle w:val="Heading2"/>
        <w:spacing w:before="180" w:after="80"/>
      </w:pPr>
      <w:r>
        <w:t>9. Добавить третью маржу по каскаду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Продукт, сделанный при помощи этой энергии, дальше идет по каскаду. Энергией торгуем один раз. Атрибут происхождения и связанные экономические права участвуют во многих последующих продуктах. При каждом подъеме по каскаду часть новой маржи возвращается обратно.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Ledger строит ancestry graph. Каждый descendant event может создавать новую подтвержденную ценность и соответствующий upstream return.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Это Margin III - каскадная маржа. В одной root transaction существуют три класса маржи.</w:t>
      </w:r>
    </w:p>
    <w:p>
      <w:pPr>
        <w:pStyle w:val="Heading2"/>
        <w:spacing w:before="180" w:after="80"/>
      </w:pPr>
      <w:r>
        <w:t>10. Не закрывать транзакцию после оплаты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Транзакция должна жить до конца жизненного цикла продукта. Она не закрывается после покупки энергии или settlement.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Исходная сделка становится Root Transaction. Все созданные продукты и права получают ссылку на корень и на непосредственного родителя.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Root остается OPEN, пока существует хотя бы одна активная descendant branch, способная продолжить экономический цикл.</w:t>
      </w:r>
    </w:p>
    <w:p>
      <w:pPr>
        <w:pStyle w:val="Heading2"/>
        <w:spacing w:before="180" w:after="80"/>
      </w:pPr>
      <w:r>
        <w:t>11. Зафиксировать RDR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Нужны три нормальных терминальных состояния: Retired, Destroyed, Recycled. Сокращение - RDR.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Retired означает штатный вывод из обращения или погашение. Destroyed - физическое прекращение существования или окончательное потребление. Recycled - завершение текущего материального цикла с возможностью рождения следующей ветки.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RDR = Retired, Destroyed, Recycled. Для Recycled текущая ветка может закрыться и одновременно создать новый descendant с сохраненным provenance.</w:t>
      </w:r>
    </w:p>
    <w:p>
      <w:pPr>
        <w:pStyle w:val="Heading2"/>
        <w:spacing w:before="180" w:after="80"/>
      </w:pPr>
      <w:r>
        <w:t>12. Определить правило закрытия Root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Корневая транзакция должна закрываться только после завершения всей цепочки.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Root может перейти в CLOSED после того, как все активные конечные ветви достигли RDR и ни одна из них больше не способна создавать новую маржу в рамках этой root transaction.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Финальность Orbital Energy является lifecycle finality, а не только платежной финальностью.</w:t>
      </w:r>
    </w:p>
    <w:p>
      <w:pPr>
        <w:pStyle w:val="Heading2"/>
        <w:spacing w:before="180" w:after="80"/>
      </w:pPr>
      <w:r>
        <w:t>13. Проверить мировые аналоги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Нужно понять, есть ли в мире что-то близкое и можем ли мы считать конструкцию новой.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Отдельные механизмы уже существуют: REC/GEC/GO, book-and-claim, product provenance, digital product passports, intent-based execution, lifecycle tracking, recursive royalties и перенос sustainability attributes между продуктами.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Само наличие зеленого атрибута, ledger, токенизации или product lineage не следует считать самостоятельным ядром новизны Orbital Energy.</w:t>
      </w:r>
    </w:p>
    <w:p>
      <w:pPr>
        <w:pStyle w:val="Heading2"/>
        <w:spacing w:before="180" w:after="80"/>
      </w:pPr>
      <w:r>
        <w:t>14. Отделить известное от потенциально оригинального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Исходная команда / идея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Нужно определить, что именно в Orbital Energy имеет смысл защищать патентом.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Короткий ответ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Наиболее сильной зоной выглядит соединение Energy Ancestry, трех маржей, рекурсивного возврата downstream value к энергетическому ancestor, двух уровней финальности и lifecycle closure через RDR.</w:t>
      </w:r>
    </w:p>
    <w:p>
      <w:pPr>
        <w:keepNext/>
        <w:spacing w:before="80" w:after="40" w:line="252" w:lineRule="auto"/>
      </w:pPr>
      <w:r>
        <w:rPr>
          <w:rFonts w:ascii="Cambria" w:hAnsi="Cambria"/>
          <w:b/>
          <w:sz w:val="19"/>
        </w:rPr>
        <w:t>Зафиксировано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Рабочее патентное ядро: Energy Ancestry + Three-Margin Transaction + Recursive Economic Return + Dual Finality + RDR Closure.</w:t>
      </w:r>
    </w:p>
    <w:p>
      <w:pPr>
        <w:pStyle w:val="Heading2"/>
      </w:pPr>
      <w:r>
        <w:t>15. Исходная формула, полученная из протокола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В самом коротком виде последовательность выглядит так: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1. Купить энергию и официальный атрибут происхождения.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2. Зафиксировать сделку сразу, settlement провести позже под гарантией.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3. Добавить интеллект и патенты.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4. Получить Margin I на первичной энергетической сделке.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5. Измерить результат Intelligence / IP и получить Margin II.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6. Создавать descendant products и учитывать Margin III на каждом каскадном событии.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7. Возвращать установленную долю созданной стоимости вверх по ancestry graph.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8. Хранить provenance и состояние всех descendants.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9. Завершить каждую ветку через RDR.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10. Закрыть Root Transaction после завершения всех активных ветвей.</w:t>
      </w:r>
    </w:p>
    <w:p>
      <w:pPr>
        <w:pStyle w:val="Heading2"/>
      </w:pPr>
      <w:r>
        <w:t>16. Что еще требуется формализовать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Математику Margin I, Margin II и Margin III.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Правила распределения upstream return между несколькими ancestors.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Split и merge продуктов и атрибутов.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Правила lineage при Recycled.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Минимальную единицу Orbital Economic Attribute.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Guarantee layer для мгновенной economic finality.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Правила соревнования sourcing agents и settlement agents.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Перечень юридически значимых ledger events.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State machine Root Transaction от создания до CLOSED.</w:t>
      </w:r>
    </w:p>
    <w:p>
      <w:pPr>
        <w:spacing w:before="0" w:after="40" w:line="252" w:lineRule="auto"/>
        <w:ind w:left="227"/>
      </w:pPr>
      <w:r>
        <w:rPr>
          <w:rFonts w:ascii="Cambria" w:hAnsi="Cambria"/>
          <w:b w:val="0"/>
          <w:sz w:val="20"/>
        </w:rPr>
        <w:t>•  Патентные claims на рекурсивную экономическую связь energy origin с downstream products.</w:t>
      </w:r>
    </w:p>
    <w:p>
      <w:pPr>
        <w:pStyle w:val="Heading2"/>
      </w:pPr>
      <w:r>
        <w:t>17. Итоговая рабочая формулировка</w:t>
      </w:r>
    </w:p>
    <w:p>
      <w:pPr>
        <w:spacing w:before="0" w:after="80" w:line="252" w:lineRule="auto"/>
      </w:pPr>
      <w:r>
        <w:rPr>
          <w:rFonts w:ascii="Cambria" w:hAnsi="Cambria"/>
          <w:b w:val="0"/>
          <w:sz w:val="20"/>
        </w:rPr>
        <w:t>Orbital Energy связывает происхождение энергии с долгоживущей экономической родословной продуктов, прав и подтвержденной стоимости, которые были созданы с ее участием. Исходный продавец энергии может получать часть downstream value на протяжении жизненного цикла descendants. Корневая транзакция сохраняется до завершения всех активных ветвей через RDR.</w:t>
      </w:r>
    </w:p>
    <w:p>
      <w:pPr>
        <w:spacing w:before="200" w:after="0" w:line="252" w:lineRule="auto"/>
      </w:pPr>
      <w:r>
        <w:rPr>
          <w:rFonts w:ascii="Cambria" w:hAnsi="Cambria"/>
          <w:b/>
          <w:sz w:val="19"/>
        </w:rPr>
        <w:t>Конец Приложения 1.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mbria" w:hAnsi="Cambria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left"/>
      <w:pBdr>
        <w:bottom w:val="single" w:sz="4" w:space="1" w:color="808080"/>
      </w:pBdr>
    </w:pPr>
    <w:r>
      <w:t>ORBITAL ENERGY // TECHNICAL NOTE // 30 AUG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mbria" w:hAnsi="Cambria" w:eastAsia="Cambria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Cambria" w:hAnsi="Cambria" w:eastAsia="Cambria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mbria" w:hAnsi="Cambria" w:eastAsia="Cambria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mbria" w:hAnsi="Cambria" w:eastAsia="Cambria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40" w:lineRule="auto"/>
    </w:pPr>
    <w:rPr>
      <w:rFonts w:ascii="Cambria" w:hAnsi="Cambria" w:eastAsia="Cambria"/>
      <w:b w:val="0"/>
      <w:color w:val="000000"/>
      <w:sz w:val="16"/>
    </w:rPr>
  </w:style>
  <w:style w:type="paragraph" w:customStyle="1" w:styleId="Mono">
    <w:name w:val="Mono"/>
    <w:pPr>
      <w:spacing w:after="80" w:line="240" w:lineRule="auto"/>
    </w:pPr>
    <w:rPr>
      <w:rFonts w:ascii="Liberation Mono" w:hAnsi="Liberation Mono" w:eastAsia="Liberation Mono"/>
      <w:b w:val="0"/>
      <w:color w:val="000000"/>
      <w:sz w:val="18"/>
    </w:rPr>
  </w:style>
  <w:style w:type="paragraph" w:customStyle="1" w:styleId="Lead">
    <w:name w:val="Lead"/>
    <w:pPr>
      <w:spacing w:after="80" w:line="240" w:lineRule="auto"/>
    </w:pPr>
    <w:rPr>
      <w:rFonts w:ascii="Cambria" w:hAnsi="Cambria" w:eastAsia="Cambria"/>
      <w:b w:val="0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Orbital Energy - Technical Note v0.2 with Source Protocol</dc:title>
  <dc:subject>Architecture, prior art, patent protection directions and source protocol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