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1531"/>
        <w:gridCol w:w="4649"/>
      </w:tblGrid>
      <w:tr>
        <w:tc>
          <w:tcPr>
            <w:tcW w:type="dxa" w:w="4958"/>
            <w:tcMar>
              <w:top w:w="30" w:type="dxa"/>
              <w:start w:w="60" w:type="dxa"/>
              <w:bottom w:w="30" w:type="dxa"/>
              <w:end w:w="60" w:type="dxa"/>
            </w:tcMar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Кому:</w:t>
            </w:r>
          </w:p>
        </w:tc>
        <w:tc>
          <w:tcPr>
            <w:tcW w:type="dxa" w:w="4958"/>
            <w:tcMar>
              <w:top w:w="30" w:type="dxa"/>
              <w:start w:w="60" w:type="dxa"/>
              <w:bottom w:w="30" w:type="dxa"/>
              <w:end w:w="60" w:type="dxa"/>
            </w:tcMar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В.И. Млынчику</w:t>
            </w:r>
          </w:p>
        </w:tc>
      </w:tr>
      <w:tr>
        <w:tc>
          <w:tcPr>
            <w:tcW w:type="dxa" w:w="4958"/>
            <w:tcMar>
              <w:top w:w="30" w:type="dxa"/>
              <w:start w:w="60" w:type="dxa"/>
              <w:bottom w:w="30" w:type="dxa"/>
              <w:end w:w="60" w:type="dxa"/>
            </w:tcMar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От:</w:t>
            </w:r>
          </w:p>
        </w:tc>
        <w:tc>
          <w:tcPr>
            <w:tcW w:type="dxa" w:w="4958"/>
            <w:tcMar>
              <w:top w:w="30" w:type="dxa"/>
              <w:start w:w="60" w:type="dxa"/>
              <w:bottom w:w="30" w:type="dxa"/>
              <w:end w:w="60" w:type="dxa"/>
            </w:tcMar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А.А.</w:t>
            </w:r>
          </w:p>
        </w:tc>
      </w:tr>
      <w:tr>
        <w:tc>
          <w:tcPr>
            <w:tcW w:type="dxa" w:w="4958"/>
            <w:tcMar>
              <w:top w:w="30" w:type="dxa"/>
              <w:start w:w="60" w:type="dxa"/>
              <w:bottom w:w="30" w:type="dxa"/>
              <w:end w:w="60" w:type="dxa"/>
            </w:tcMar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rPr>
                <w:b/>
              </w:rPr>
              <w:t>Дата:</w:t>
            </w:r>
          </w:p>
        </w:tc>
        <w:tc>
          <w:tcPr>
            <w:tcW w:type="dxa" w:w="4958"/>
            <w:tcMar>
              <w:top w:w="30" w:type="dxa"/>
              <w:start w:w="60" w:type="dxa"/>
              <w:bottom w:w="30" w:type="dxa"/>
              <w:end w:w="60" w:type="dxa"/>
            </w:tcMar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21 июля 2026 года</w:t>
            </w:r>
          </w:p>
        </w:tc>
      </w:tr>
    </w:tbl>
    <w:p>
      <w:pPr>
        <w:spacing w:after="0"/>
      </w:pPr>
    </w:p>
    <w:p>
      <w:pPr>
        <w:pStyle w:val="Title"/>
        <w:jc w:val="center"/>
      </w:pPr>
      <w:r>
        <w:t>СПРАВКА</w:t>
      </w:r>
    </w:p>
    <w:p>
      <w:pPr>
        <w:spacing w:after="240"/>
        <w:jc w:val="center"/>
      </w:pPr>
      <w:r>
        <w:rPr>
          <w:rFonts w:ascii="Times New Roman" w:hAnsi="Times New Roman"/>
          <w:b/>
          <w:sz w:val="26"/>
        </w:rPr>
        <w:t>Близкие проекты и рыночные сигналы по концепции</w:t>
        <w:br/>
        <w:t>«обратного биткоина» и Energy DePIN</w:t>
      </w:r>
    </w:p>
    <w:p>
      <w:r>
        <w:rPr>
          <w:b/>
        </w:rPr>
        <w:t xml:space="preserve">Предмет справки. </w:t>
      </w:r>
      <w:r>
        <w:t>Проекты и рыночные механизмы, которые приблизились к конструкции, в которой подтвержденное физическое энергетическое действие становится основанием токена, цифрового права, финансирования или автоматического расчетного потока.</w:t>
      </w:r>
    </w:p>
    <w:p>
      <w:r>
        <w:rPr>
          <w:b/>
        </w:rPr>
        <w:t xml:space="preserve">Главный вывод. </w:t>
      </w:r>
      <w:r>
        <w:t>К середине 2026 года отдельные элементы нашей архитектуры начали быстро сходиться на рынке. Уже существуют практически буквальный «обратный биткоин» для солнечной генерации, on-chain токенизация работающих энергетических активов, модели deCAPEX для распределенных ячеек, глобальная агрегация малой генерации и самостоятельные рынки гибкости. Полного аналога, который объединяет генерацию, экономию, резерв, холод, воду, связь, вычисления, практическую мощность pMW/pGW, Proof of Effect и юридическое право требования, пока не обнаружено.</w:t>
      </w:r>
    </w:p>
    <w:p>
      <w:pPr>
        <w:spacing w:before="80" w:after="160"/>
        <w:ind w:left="454" w:right="454"/>
      </w:pPr>
      <w:r>
        <w:rPr>
          <w:b/>
        </w:rPr>
        <w:t xml:space="preserve">Примечание: </w:t>
      </w:r>
      <w:r>
        <w:t>цифры ниже приводятся по официальным публикациям самих проектов и профильных организаций. Они подтверждают заявленную механику и масштаб, но не заменяют независимый технический или финансовый аудит.</w:t>
      </w:r>
    </w:p>
    <w:p>
      <w:pPr>
        <w:pStyle w:val="Heading1"/>
      </w:pPr>
      <w:r>
        <w:t>1. Glow Protocol: практически буквальный «обратный биткоин»</w:t>
      </w:r>
    </w:p>
    <w:p>
      <w:r>
        <w:rPr>
          <w:b w:val="0"/>
        </w:rPr>
        <w:t xml:space="preserve">Glow уже прямо формулирует инверсию Bitcoin: </w:t>
      </w:r>
      <w:r>
        <w:rPr>
          <w:i/>
        </w:rPr>
        <w:t>Bitcoin-майнер строит вычислительные мощности, которые потребляют энергию; Glow-майнер строит солнечные мощности, которые производят энергию.</w:t>
      </w:r>
    </w:p>
    <w:p>
      <w:r>
        <w:t>Солнечные станции проходят аудит, передают данные о фактической генерации и «майнят» GLW-токены. Между станциями действует конкуренция за протокольные стимулы. Вознаграждение связано с проверяемой генерацией и дополнительностью проекта. В январе 2026 года Glow сообщил о запуске сотой солнечной станции.</w:t>
      </w:r>
    </w:p>
    <w:p>
      <w:r>
        <w:rPr>
          <w:b/>
        </w:rPr>
        <w:t xml:space="preserve">Самое важное: Ливан, июль 2026 года. </w:t>
      </w:r>
      <w:r>
        <w:t>9 июля Glow объявил, что сообщество полностью профинансировало солнечную станцию мощностью 250 кВт для Hôpital Saint-Charles в Ливане. На объект было делегировано более 800 000 GLW. Станция предназначена для устойчивого питания больницы при хронических отключениях и сокращения зависимости от дизельных генераторов. Glow также сообщил, что еще пять ливанских солнечных объектов продолжали строиться во время военных действий.</w:t>
      </w:r>
    </w:p>
    <w:p>
      <w:pPr>
        <w:ind w:left="397" w:right="397"/>
        <w:jc w:val="center"/>
      </w:pPr>
      <w:r>
        <w:rPr>
          <w:b/>
        </w:rPr>
        <w:t>Это практически: обратный биткоин + энергетика катастроф + критическая инфраструктура.</w:t>
      </w:r>
    </w:p>
    <w:p>
      <w:r>
        <w:t>Сообщество не только вкладывает деньги, но и направляет токеновые стимулы в выбранную территорию и конкретный объект. Получается цепочка:</w:t>
      </w:r>
    </w:p>
    <w:p>
      <w:pPr>
        <w:jc w:val="center"/>
      </w:pPr>
      <w:r>
        <w:rPr>
          <w:b/>
        </w:rPr>
        <w:t>энергетический объект → проверенная физическая работа → майнинговая награда</w:t>
      </w:r>
    </w:p>
    <w:p>
      <w:r>
        <w:rPr>
          <w:b/>
        </w:rPr>
        <w:t xml:space="preserve">Где Glow пока уже нашей системы. </w:t>
      </w:r>
      <w:r>
        <w:t>Glow в основном считает солнечную генерацию, экономику станции и климатический эффект. Он пока не превращает в единый рынок холод, воду, связь, резерв, доступность, скорость включения, срок автономности, управляемое снижение потребления и восстановление жизненной функции. Это близкий конкурент обратному биткоину, но еще не полноценный аналог pMW/pGW и рынка энергетической полезности.</w:t>
      </w:r>
    </w:p>
    <w:p>
      <w:pPr>
        <w:pStyle w:val="Heading1"/>
      </w:pPr>
      <w:r>
        <w:t>2. Arkreen: энергия становится on-chain-активом и расчетным потоком</w:t>
      </w:r>
    </w:p>
    <w:p>
      <w:r>
        <w:t>Arkreen перешел от токенизации экологических атрибутов к токенизации работающих энергетических объектов. 30 января 2026 года проект представил первый действующий узел Power Yield: коммерческую солнечную станцию мощностью 300 кВт в Таиланде.</w:t>
      </w:r>
    </w:p>
    <w:p>
      <w:r>
        <w:t>Заявленная схема включает высокоточную телеметрию, передачу измерений в on-chain-контур, автоматическое распределение денежного потока в стейблкоинах по подтвержденным кВт·ч и использование токена AKRE для сетевых функций и управления.</w:t>
      </w:r>
    </w:p>
    <w:p>
      <w:pPr>
        <w:jc w:val="center"/>
      </w:pPr>
      <w:r>
        <w:rPr>
          <w:b/>
        </w:rPr>
        <w:t>солнечный объект → телеметрия → on-chain asset → stablecoin cash flow</w:t>
      </w:r>
    </w:p>
    <w:p>
      <w:r>
        <w:t>Это чрезвычайно близко к нашим слоям: оракулу, OracleStatement, Energy Delta Receivable, энергетическому RWA, автоматическому waterfall и Power-Backed Securities.</w:t>
      </w:r>
    </w:p>
    <w:p>
      <w:r>
        <w:rPr>
          <w:b/>
        </w:rPr>
        <w:t xml:space="preserve">Где Arkreen пока уже нашей системы. </w:t>
      </w:r>
      <w:r>
        <w:t>Arkreen токенизирует прежде всего генерацию и поток от солнечного актива. В открытой модели пока не видно нормализации многомерной практической полезности, включая резерв, холод, воду, связь, локальную устойчивость и качество мощности.</w:t>
      </w:r>
    </w:p>
    <w:p>
      <w:pPr>
        <w:pStyle w:val="Heading1"/>
      </w:pPr>
      <w:r>
        <w:t>3. Daylight: deCAPEX и энергетическая ячейка без первоначального платежа</w:t>
      </w:r>
    </w:p>
    <w:p>
      <w:r>
        <w:t>Daylight строит децентрализованную сеть домашних солнечных установок и накопителей. Домохозяйство получает солнечные панели, аккумулятор, резерв при отключении, обслуживание и снижение счета, не внося первоначальный CAPEX. Вместо покупки оборудования используется энергетическая подписка.</w:t>
      </w:r>
    </w:p>
    <w:p>
      <w:r>
        <w:t>16 октября 2025 года Daylight сообщил о привлечении 75 млн долларов: 15 млн долларов акционерного капитала и 60 млн долларов проектного финансирования для масштабирования домашних энергетических установок.</w:t>
      </w:r>
    </w:p>
    <w:p>
      <w:pPr>
        <w:jc w:val="center"/>
      </w:pPr>
      <w:r>
        <w:rPr>
          <w:b/>
        </w:rPr>
        <w:t>оборудование без CAPEX территории → локальная ячейка → поток платежей → возврат вложений</w:t>
      </w:r>
    </w:p>
    <w:p>
      <w:r>
        <w:t>У Daylight пока почти отсутствует публичная конструкция «майнинга полезности». Однако физическая и финансовая оболочка deCAPEX уже существует: инвестор финансирует распределенную инфраструктуру, а возврат обеспечивается длительным потоком платежей и энергетических услуг.</w:t>
      </w:r>
    </w:p>
    <w:p>
      <w:pPr>
        <w:pStyle w:val="Heading1"/>
      </w:pPr>
      <w:r>
        <w:t>4. D-REC: малые энергетические капли получают доступ к глобальному капиталу</w:t>
      </w:r>
    </w:p>
    <w:p>
      <w:r>
        <w:t>D-REC работает с небольшими объектами распределенной энергетики в развивающихся и недостаточно обслуживаемых регионах. Система получает данные от малых солнечных установок и мини-сетей, проверяет генерацию, фиксирует социальное и инфраструктурное воздействие и связывает локальный объект с международным корпоративным покупателем.</w:t>
      </w:r>
    </w:p>
    <w:p>
      <w:r>
        <w:t>По официальным данным D-REC, в контуре находятся более 1 850 проверенных распределенных устройств, свыше 700 площадок, более 400 ГВт·ч законтрактованных покупок и проекты или pipeline в 22 странах Африки, Азии и Латинской Америки.</w:t>
      </w:r>
    </w:p>
    <w:p>
      <w:r>
        <w:t>Это особенно близко к нашей модели AMLake для Судана, Гималаев, островов и других трудных зон: маленькие физические капли объединяются, получают доказуемую историю происхождения и выходят к глобальному капиталу.</w:t>
      </w:r>
    </w:p>
    <w:p>
      <w:r>
        <w:rPr>
          <w:b/>
        </w:rPr>
        <w:t xml:space="preserve">Где D-REC пока уже нашей системы. </w:t>
      </w:r>
      <w:r>
        <w:t>Основной продукт остается сертификатным: происхождение энергии и воздействие. Не формируется единый рынок резерва, холода, воды, доступности, практической мощности и юридически оформленной дельты полезности.</w:t>
      </w:r>
    </w:p>
    <w:p>
      <w:pPr>
        <w:pStyle w:val="Heading1"/>
      </w:pPr>
      <w:r>
        <w:t>5. Peak, Flex и Reserve уже становятся самостоятельными рынками</w:t>
      </w:r>
    </w:p>
    <w:p>
      <w:r>
        <w:t>Параллельно энергетика без криптовалюты движется к нашей логике производных продуктов. ISGAN описывает локальные рынки гибкости, на которых сетевые операторы покупают у распределенных объектов изменение потребления или генерации, работу накопителей, demand response, снятие локальных ограничений и отсрочку усиления сети.</w:t>
      </w:r>
    </w:p>
    <w:p>
      <w:r>
        <w:t>Иными словами, оператор платит уже не только за кВт·ч, а за изменение режима в нужном месте и в нужный момент. В новых материалах ISGAN отдельно рассматриваются локальные рынки гибкости, гибкие договоры присоединения и сетевые тарифы как разные механизмы приобретения гибкости.</w:t>
      </w:r>
    </w:p>
    <w:p>
      <w:r>
        <w:t>Это прямое подтверждение наших слоев PEAK, FLEX, RESERVE, GRID и CONNECTION. Пока эти продукты существуют в разных регламентах и измеряются разными способами. Единой нормализованной размерности уровня pMW/pGW и общей книги энергетической полезности не видно.</w:t>
      </w:r>
    </w:p>
    <w:p>
      <w:pPr>
        <w:pStyle w:val="Heading1"/>
      </w:pPr>
      <w:r>
        <w:t>6. Африка: рост маржинальности мини-сетей через цифровые нагрузки</w:t>
      </w:r>
    </w:p>
    <w:p>
      <w:r>
        <w:t>Global Energy Alliance for People and Planet в апреле 2025 года описал модель, в которой удаленная мини-сеть зарабатывает не только на продаже электроэнергии местному населению, но и на Bitcoin-майнинге, распределенных вычислениях, AI, GPU, связи, воде и цифровых сервисах.</w:t>
      </w:r>
    </w:p>
    <w:p>
      <w:r>
        <w:t>В качестве примера приводится Virunga Energies в Демократической Республике Конго. По данным GEAPP, подключение 6,5 МВт Bitcoin-майнинга повысило загрузку гидростанции Luviro примерно с 5% до 50%, а бытовой тариф снизился с 0,35 до 0,15 доллара за кВт·ч. Эти показатели следует рассматривать как заявленный иллюстративный кейс и проверять отдельно перед использованием в финансовой модели.</w:t>
      </w:r>
    </w:p>
    <w:p>
      <w:r>
        <w:t>Это еще не обратный биткоин. Здесь обычный Bitcoin выступает покупателем последней инстанции для невостребованной энергии. Однако экономический вывод совпадает с нашим: мини-сеть не должна жить только на продаже электричества местному населению. Она должна одновременно выпускать несколько более дорогих продуктов.</w:t>
      </w:r>
    </w:p>
    <w:p>
      <w:pPr>
        <w:pStyle w:val="Heading1"/>
      </w:pPr>
      <w:r>
        <w:t>7. Что происходит с рынком в целом</w:t>
      </w:r>
    </w:p>
    <w:p>
      <w:r>
        <w:t>Еще недавно рядом существовали отдельные эксперименты: токен за солнечную генерацию, сертификаты происхождения, P2P-торговля, Bitcoin на избытках энергии, виртуальные электростанции и локальные рынки гибкости. К середине 2026 года они начали сходиться в одну конструкцию:</w:t>
      </w:r>
    </w:p>
    <w:p>
      <w:pPr>
        <w:jc w:val="center"/>
      </w:pPr>
      <w:r>
        <w:rPr>
          <w:b/>
        </w:rPr>
        <w:t>распределенный объект → измерение → доказательство → токен или RWA → автоматический денежный поток</w:t>
      </w:r>
    </w:p>
    <w:p>
      <w:r>
        <w:t>Самый серьезный сигнал дает Glow в Ливане. Это уже солнечный майнинг в зоне слабой и поврежденной энергосистемы, профинансированный глобальным сообществом, с токеновой эмиссией и критической нагрузкой больницы.</w:t>
      </w:r>
    </w:p>
    <w:p>
      <w:r>
        <w:t>При этом полного аналога нашей конструкции пока не обнаружено. Никто из рассмотренных проектов публично не собрал в одной системе:</w:t>
      </w:r>
    </w:p>
    <w:p>
      <w:pPr>
        <w:ind w:left="425" w:hanging="198"/>
      </w:pPr>
      <w:r>
        <w:rPr>
          <w:b/>
        </w:rPr>
        <w:t xml:space="preserve">• </w:t>
      </w:r>
      <w:r>
        <w:t>генерацию, экономию, резерв, холод, воду, связь и вычисления;</w:t>
      </w:r>
    </w:p>
    <w:p>
      <w:pPr>
        <w:ind w:left="425" w:hanging="198"/>
      </w:pPr>
      <w:r>
        <w:rPr>
          <w:b/>
        </w:rPr>
        <w:t xml:space="preserve">• </w:t>
      </w:r>
      <w:r>
        <w:t>многомерное измерение энергетической полезности;</w:t>
      </w:r>
    </w:p>
    <w:p>
      <w:pPr>
        <w:ind w:left="425" w:hanging="198"/>
      </w:pPr>
      <w:r>
        <w:rPr>
          <w:b/>
        </w:rPr>
        <w:t xml:space="preserve">• </w:t>
      </w:r>
      <w:r>
        <w:t>нормализацию в pMW/pGW;</w:t>
      </w:r>
    </w:p>
    <w:p>
      <w:pPr>
        <w:ind w:left="425" w:hanging="198"/>
      </w:pPr>
      <w:r>
        <w:rPr>
          <w:b/>
        </w:rPr>
        <w:t xml:space="preserve">• </w:t>
      </w:r>
      <w:r>
        <w:t>Proof of Effect как основание выпуска права;</w:t>
      </w:r>
    </w:p>
    <w:p>
      <w:pPr>
        <w:ind w:left="425" w:hanging="198"/>
      </w:pPr>
      <w:r>
        <w:rPr>
          <w:b/>
        </w:rPr>
        <w:t xml:space="preserve">• </w:t>
      </w:r>
      <w:r>
        <w:t>превращение физического события в юридическое право требования;</w:t>
      </w:r>
    </w:p>
    <w:p>
      <w:pPr>
        <w:ind w:left="425" w:hanging="198"/>
      </w:pPr>
      <w:r>
        <w:rPr>
          <w:b/>
        </w:rPr>
        <w:t xml:space="preserve">• </w:t>
      </w:r>
      <w:r>
        <w:t>автоматический waterfall возврата CAPEX;</w:t>
      </w:r>
    </w:p>
    <w:p>
      <w:pPr>
        <w:ind w:left="425" w:hanging="198"/>
      </w:pPr>
      <w:r>
        <w:rPr>
          <w:b/>
        </w:rPr>
        <w:t xml:space="preserve">• </w:t>
      </w:r>
      <w:r>
        <w:t>катастрофическую территорию как полноценный коммерческий рынок;</w:t>
      </w:r>
    </w:p>
    <w:p>
      <w:pPr>
        <w:ind w:left="425" w:hanging="198"/>
      </w:pPr>
      <w:r>
        <w:rPr>
          <w:b/>
        </w:rPr>
        <w:t xml:space="preserve">• </w:t>
      </w:r>
      <w:r>
        <w:t>сеть как оператора, оракула и клиринговую систему после исчезновения части физических линий.</w:t>
      </w:r>
    </w:p>
    <w:p>
      <w:r>
        <w:t>Следовательно, рынок не опередил общую архитектуру, но начал быстро собирать ее отдельные части. К 2028 году несколько из этих систем могут стать крупными. Поэтому закрытое физико-расчетное ядро для Арктики, Гималаев, островной территории или одного медицинско-водного контура целесообразно выводить раньше публичной валютной оболочки.</w:t>
      </w:r>
    </w:p>
    <w:p>
      <w:pPr>
        <w:jc w:val="center"/>
      </w:pPr>
      <w:r>
        <w:rPr>
          <w:b/>
        </w:rPr>
        <w:t>ячейка → Proof of Utility / Proof of Effect → внутренняя единица → обычный денежный расчет</w:t>
      </w:r>
    </w:p>
    <w:p>
      <w:pPr>
        <w:pStyle w:val="Heading1"/>
      </w:pPr>
      <w:r>
        <w:t>8. Сводное сопоставление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83"/>
        <w:gridCol w:w="1983"/>
        <w:gridCol w:w="1983"/>
        <w:gridCol w:w="1983"/>
        <w:gridCol w:w="1983"/>
      </w:tblGrid>
      <w:tr>
        <w:trPr>
          <w:tblHeader w:val="true"/>
        </w:trPr>
        <w:tc>
          <w:tcPr>
            <w:tcW w:type="dxa" w:w="1983"/>
            <w:shd w:fill="D9E1F2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r>
              <w:rPr>
                <w:rFonts w:ascii="Times New Roman" w:hAnsi="Times New Roman"/>
                <w:b/>
                <w:sz w:val="17"/>
              </w:rPr>
              <w:t>Проект / рынок</w:t>
            </w:r>
          </w:p>
        </w:tc>
        <w:tc>
          <w:tcPr>
            <w:tcW w:type="dxa" w:w="1983"/>
            <w:shd w:fill="D9E1F2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r>
              <w:rPr>
                <w:rFonts w:ascii="Times New Roman" w:hAnsi="Times New Roman"/>
                <w:b/>
                <w:sz w:val="17"/>
              </w:rPr>
              <w:t>Физическая основа</w:t>
            </w:r>
          </w:p>
        </w:tc>
        <w:tc>
          <w:tcPr>
            <w:tcW w:type="dxa" w:w="1983"/>
            <w:shd w:fill="D9E1F2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r>
              <w:rPr>
                <w:rFonts w:ascii="Times New Roman" w:hAnsi="Times New Roman"/>
                <w:b/>
                <w:sz w:val="17"/>
              </w:rPr>
              <w:t>Расчетный слой</w:t>
            </w:r>
          </w:p>
        </w:tc>
        <w:tc>
          <w:tcPr>
            <w:tcW w:type="dxa" w:w="1983"/>
            <w:shd w:fill="D9E1F2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r>
              <w:rPr>
                <w:rFonts w:ascii="Times New Roman" w:hAnsi="Times New Roman"/>
                <w:b/>
                <w:sz w:val="17"/>
              </w:rPr>
              <w:t>Ближайший наш элемент</w:t>
            </w:r>
          </w:p>
        </w:tc>
        <w:tc>
          <w:tcPr>
            <w:tcW w:type="dxa" w:w="1983"/>
            <w:shd w:fill="D9E1F2"/>
            <w:tcMar>
              <w:top w:w="80" w:type="dxa"/>
              <w:start w:w="70" w:type="dxa"/>
              <w:bottom w:w="80" w:type="dxa"/>
              <w:end w:w="70" w:type="dxa"/>
            </w:tcMar>
            <w:vAlign w:val="center"/>
          </w:tcPr>
          <w:p>
            <w:r>
              <w:rPr>
                <w:rFonts w:ascii="Times New Roman" w:hAnsi="Times New Roman"/>
                <w:b/>
                <w:sz w:val="17"/>
              </w:rPr>
              <w:t>Главный пробел</w:t>
            </w:r>
          </w:p>
        </w:tc>
      </w:tr>
      <w:tr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Glow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Проверенная солнечная генерация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GLW, делегирование, on-chain стимулы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Обратный биткоин; Proof of Generation; катастрофическая энергетика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Нет многопродуктовой полезности и pMW/pGW</w:t>
            </w:r>
          </w:p>
        </w:tc>
      </w:tr>
      <w:tr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Arkreen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Работающая солнечная станция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On-chain metering и stablecoin cash flow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Оракул; RWA; waterfall; PBS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Преимущественно генерация и денежный поток актива</w:t>
            </w:r>
          </w:p>
        </w:tc>
      </w:tr>
      <w:tr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Daylight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Домашняя солнечная ячейка и накопитель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Подписка и проектное финансирование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deCAPEX; распределенная ячейка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Нет Proof of Utility и токенизации эффекта</w:t>
            </w:r>
          </w:p>
        </w:tc>
      </w:tr>
      <w:tr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D-REC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Малая распределенная генерация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Сертификат и корпоративная покупка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AMLake; агрегация энергетических капель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Нет рынка резерва, холода, воды и практической мощности</w:t>
            </w:r>
          </w:p>
        </w:tc>
      </w:tr>
      <w:tr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Flexibility markets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Изменение режима нагрузки, генерации и накопителей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Оплата услуги сети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PEAK; FLEX; RESERVE; GRID; CONNECTION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Фрагментарные правила, нет общей размерности</w:t>
            </w:r>
          </w:p>
        </w:tc>
      </w:tr>
      <w:tr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GEAPP / Virunga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Избыток энергии мини-сети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Доход от Bitcoin и digital loads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Многопродуктовая маржинальность ячейки</w:t>
            </w:r>
          </w:p>
        </w:tc>
        <w:tc>
          <w:tcPr>
            <w:tcW w:type="dxa" w:w="1983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</w:rPr>
              <w:t>Bitcoin потребляет энергию, а не выпускается из полезности</w:t>
            </w:r>
          </w:p>
        </w:tc>
      </w:tr>
    </w:tbl>
    <w:p>
      <w:pPr>
        <w:pStyle w:val="Heading1"/>
      </w:pPr>
      <w:r>
        <w:t>9. Итог</w:t>
      </w:r>
    </w:p>
    <w:p>
      <w:r>
        <w:rPr>
          <w:b/>
        </w:rPr>
        <w:t xml:space="preserve">Первое. </w:t>
      </w:r>
      <w:r>
        <w:t>«Обратный биткоин» перестал быть одинокой концепцией. Glow уже реализует его прямую солнечную версию.</w:t>
      </w:r>
    </w:p>
    <w:p>
      <w:r>
        <w:rPr>
          <w:b/>
        </w:rPr>
        <w:t xml:space="preserve">Второе. </w:t>
      </w:r>
      <w:r>
        <w:t>Arkreen приблизился к превращению измеренной энергии в on-chain актив и автоматический расчетный поток.</w:t>
      </w:r>
    </w:p>
    <w:p>
      <w:r>
        <w:rPr>
          <w:b/>
        </w:rPr>
        <w:t xml:space="preserve">Третье. </w:t>
      </w:r>
      <w:r>
        <w:t>Daylight, D-REC и рынки гибкости собирают финансовые, агрегаторные и производные слои будущей системы.</w:t>
      </w:r>
    </w:p>
    <w:p>
      <w:r>
        <w:rPr>
          <w:b/>
        </w:rPr>
        <w:t xml:space="preserve">Четвертое. </w:t>
      </w:r>
      <w:r>
        <w:t>Свободное пространство остается в новой размерности энергии: pMW/pGW, многопродуктовой полезности, Proof of Effect и превращении подтвержденной дельты в юридическое право требования.</w:t>
      </w:r>
    </w:p>
    <w:p>
      <w:r>
        <w:rPr>
          <w:b/>
        </w:rPr>
        <w:t xml:space="preserve">Пятое. </w:t>
      </w:r>
      <w:r>
        <w:t>Практический запуск до 2028 года целесообразно строить как закрытый расчетный протокол для конкретной территории или критического объекта. Публичный токен может появиться позже, после накопления доказанной физической истории.</w:t>
      </w:r>
    </w:p>
    <w:p>
      <w:pPr>
        <w:spacing w:before="360" w:after="0"/>
      </w:pPr>
      <w:r>
        <w:rPr>
          <w:b/>
          <w:sz w:val="24"/>
        </w:rPr>
        <w:t>А.А.</w:t>
      </w:r>
    </w:p>
    <w:p>
      <w:pPr>
        <w:spacing w:after="240"/>
      </w:pPr>
      <w:r>
        <w:t>21 июля 2026 года</w:t>
      </w:r>
    </w:p>
    <w:p>
      <w:pPr>
        <w:pStyle w:val="Heading1"/>
      </w:pPr>
      <w:r>
        <w:t>Источники</w:t>
      </w:r>
    </w:p>
    <w:p>
      <w:pPr>
        <w:spacing w:after="40"/>
        <w:ind w:left="340" w:hanging="340"/>
      </w:pPr>
      <w:r>
        <w:t xml:space="preserve">1. Glow. The Simple Way to Fund Solar and Track Your Impact Onchain, 28.01.2026. </w:t>
      </w:r>
      <w:hyperlink r:id="rId11">
        <w:r>
          <w:rPr>
            <w:color w:val="0000FF"/>
            <w:u w:val="single"/>
            <w:rFonts w:ascii="Times New Roman" w:hAnsi="Times New Roman" w:eastAsia="Times New Roman"/>
            <w:sz w:val="20"/>
          </w:rPr>
          <w:t>https://glow.org/blog/the-simple-way-to-fund-solar</w:t>
        </w:r>
      </w:hyperlink>
    </w:p>
    <w:p>
      <w:pPr>
        <w:spacing w:after="40"/>
        <w:ind w:left="340" w:hanging="340"/>
      </w:pPr>
      <w:r>
        <w:t xml:space="preserve">2. Glow. Orion Frontier Is Fully Funded: Lebanon’s First Glow Community-Built Solar Farm, 09.07.2026. </w:t>
      </w:r>
      <w:hyperlink r:id="rId12">
        <w:r>
          <w:rPr>
            <w:color w:val="0000FF"/>
            <w:u w:val="single"/>
            <w:rFonts w:ascii="Times New Roman" w:hAnsi="Times New Roman" w:eastAsia="Times New Roman"/>
            <w:sz w:val="20"/>
          </w:rPr>
          <w:t>https://glow.org/blog/orion-frontier-fully-funded</w:t>
        </w:r>
      </w:hyperlink>
    </w:p>
    <w:p>
      <w:pPr>
        <w:spacing w:after="40"/>
        <w:ind w:left="340" w:hanging="340"/>
      </w:pPr>
      <w:r>
        <w:t xml:space="preserve">3. Arkreen. Power Yield update: first live 300 kW node in Thailand, 30.01.2026. </w:t>
      </w:r>
      <w:hyperlink r:id="rId13">
        <w:r>
          <w:rPr>
            <w:color w:val="0000FF"/>
            <w:u w:val="single"/>
            <w:rFonts w:ascii="Times New Roman" w:hAnsi="Times New Roman" w:eastAsia="Times New Roman"/>
            <w:sz w:val="20"/>
          </w:rPr>
          <w:t>https://www.arkreen.com/blog/power-yield-update-first-live-node-revealed-a-300-kw-power-station-in-thailand/</w:t>
        </w:r>
      </w:hyperlink>
    </w:p>
    <w:p>
      <w:pPr>
        <w:spacing w:after="40"/>
        <w:ind w:left="340" w:hanging="340"/>
      </w:pPr>
      <w:r>
        <w:t xml:space="preserve">4. Daylight. Raises $75 Million to Expand Its Decentralized Energy Network, 16.10.2025. </w:t>
      </w:r>
      <w:hyperlink r:id="rId14">
        <w:r>
          <w:rPr>
            <w:color w:val="0000FF"/>
            <w:u w:val="single"/>
            <w:rFonts w:ascii="Times New Roman" w:hAnsi="Times New Roman" w:eastAsia="Times New Roman"/>
            <w:sz w:val="20"/>
          </w:rPr>
          <w:t>https://blog.godaylight.com/daylight-fundraise</w:t>
        </w:r>
      </w:hyperlink>
    </w:p>
    <w:p>
      <w:pPr>
        <w:spacing w:after="40"/>
        <w:ind w:left="340" w:hanging="340"/>
      </w:pPr>
      <w:r>
        <w:t xml:space="preserve">5. D-REC. Official project metrics and description. </w:t>
      </w:r>
      <w:hyperlink r:id="rId15">
        <w:r>
          <w:rPr>
            <w:color w:val="0000FF"/>
            <w:u w:val="single"/>
            <w:rFonts w:ascii="Times New Roman" w:hAnsi="Times New Roman" w:eastAsia="Times New Roman"/>
            <w:sz w:val="20"/>
          </w:rPr>
          <w:t>https://drecs.org/</w:t>
        </w:r>
      </w:hyperlink>
    </w:p>
    <w:p>
      <w:pPr>
        <w:spacing w:after="40"/>
        <w:ind w:left="340" w:hanging="340"/>
      </w:pPr>
      <w:r>
        <w:t xml:space="preserve">6. ISGAN. Survey on Flexibility Market Implementation and Development, 23.10.2025. </w:t>
      </w:r>
      <w:hyperlink r:id="rId16">
        <w:r>
          <w:rPr>
            <w:color w:val="0000FF"/>
            <w:u w:val="single"/>
            <w:rFonts w:ascii="Times New Roman" w:hAnsi="Times New Roman" w:eastAsia="Times New Roman"/>
            <w:sz w:val="20"/>
          </w:rPr>
          <w:t>https://iea-isgan.org/survey-on-flexibility-market-implementation-and-development/</w:t>
        </w:r>
      </w:hyperlink>
    </w:p>
    <w:p>
      <w:pPr>
        <w:spacing w:after="40"/>
        <w:ind w:left="340" w:hanging="340"/>
      </w:pPr>
      <w:r>
        <w:t xml:space="preserve">7. ISGAN / BRIDGE / BeFlexible. Flexibility Acquisition Mechanism Designs, 2026. </w:t>
      </w:r>
      <w:hyperlink r:id="rId17">
        <w:r>
          <w:rPr>
            <w:color w:val="0000FF"/>
            <w:u w:val="single"/>
            <w:rFonts w:ascii="Times New Roman" w:hAnsi="Times New Roman" w:eastAsia="Times New Roman"/>
            <w:sz w:val="20"/>
          </w:rPr>
          <w:t>https://iea-isgan.org/wp-content/uploads/2026/01/Flexibility-Acquisition-Mechanism-Designs.pdf</w:t>
        </w:r>
      </w:hyperlink>
    </w:p>
    <w:p>
      <w:pPr>
        <w:spacing w:after="40"/>
        <w:ind w:left="340" w:hanging="340"/>
      </w:pPr>
      <w:r>
        <w:t xml:space="preserve">8. GEAPP. Leveraging AI and crypto to power Mission 300 and end energy poverty, 15.04.2025. </w:t>
      </w:r>
      <w:hyperlink r:id="rId18">
        <w:r>
          <w:rPr>
            <w:color w:val="0000FF"/>
            <w:u w:val="single"/>
            <w:rFonts w:ascii="Times New Roman" w:hAnsi="Times New Roman" w:eastAsia="Times New Roman"/>
            <w:sz w:val="20"/>
          </w:rPr>
          <w:t>https://energyalliance.org/ai-crypto-mission-300-energy-access/</w:t>
        </w:r>
      </w:hyperlink>
    </w:p>
    <w:p>
      <w:r>
        <w:br w:type="page"/>
      </w:r>
    </w:p>
    <w:p>
      <w:pPr>
        <w:pStyle w:val="Title"/>
        <w:jc w:val="center"/>
      </w:pPr>
      <w:r>
        <w:t>ПРИЛОЖЕНИЕ 1</w:t>
      </w:r>
    </w:p>
    <w:p>
      <w:pPr>
        <w:spacing w:after="200"/>
        <w:jc w:val="center"/>
      </w:pPr>
      <w:r>
        <w:rPr>
          <w:rFonts w:ascii="Times New Roman" w:hAnsi="Times New Roman" w:eastAsia="Times New Roman"/>
          <w:b/>
          <w:i w:val="0"/>
          <w:sz w:val="25"/>
        </w:rPr>
        <w:t>Полный ответ на вопрос о появлении близких проектов</w:t>
      </w:r>
    </w:p>
    <w:p>
      <w:pPr>
        <w:spacing w:after="160"/>
        <w:ind w:left="397" w:right="397"/>
      </w:pPr>
      <w:r>
        <w:rPr>
          <w:rFonts w:ascii="Times New Roman" w:hAnsi="Times New Roman" w:eastAsia="Times New Roman"/>
          <w:b/>
          <w:i w:val="0"/>
          <w:sz w:val="21"/>
        </w:rPr>
        <w:t xml:space="preserve">Вопрос: </w:t>
      </w:r>
      <w:r>
        <w:rPr>
          <w:rFonts w:ascii="Times New Roman" w:hAnsi="Times New Roman" w:eastAsia="Times New Roman"/>
          <w:b w:val="0"/>
          <w:i/>
          <w:sz w:val="21"/>
        </w:rPr>
        <w:t>«Посмотри, пожалуйста, кстати, не появилось ли каких-то близких историй»</w:t>
      </w:r>
    </w:p>
    <w:p>
      <w:pPr>
        <w:spacing w:after="160"/>
        <w:ind w:left="397" w:right="397"/>
      </w:pPr>
      <w:r>
        <w:rPr>
          <w:rFonts w:ascii="Times New Roman" w:hAnsi="Times New Roman" w:eastAsia="Times New Roman"/>
          <w:b w:val="0"/>
          <w:i/>
          <w:sz w:val="20"/>
        </w:rPr>
        <w:t>Ниже ответ приведен дословно, с указанными в нем источниками.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«Да. Причём одна история появилась буквально сейчас и подошла к нашей конструкции почти вплотную.</w:t>
      </w:r>
    </w:p>
    <w:p>
      <w:pPr>
        <w:pStyle w:val="AppendixQuoteHeading"/>
        <w:spacing w:before="160" w:after="60"/>
      </w:pPr>
      <w:r>
        <w:rPr>
          <w:rFonts w:ascii="Times New Roman" w:hAnsi="Times New Roman" w:eastAsia="Times New Roman"/>
          <w:b/>
          <w:i w:val="0"/>
          <w:sz w:val="22"/>
        </w:rPr>
        <w:t>1. Glow Protocol: практически буквальный «обратный биткоин»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Glow уже прямо говорит:</w:t>
      </w:r>
    </w:p>
    <w:p>
      <w:pPr>
        <w:pStyle w:val="AppendixQuote"/>
        <w:spacing w:after="80"/>
        <w:jc w:val="center"/>
      </w:pPr>
      <w:r>
        <w:rPr>
          <w:rFonts w:ascii="Times New Roman" w:hAnsi="Times New Roman" w:eastAsia="Times New Roman"/>
          <w:b w:val="0"/>
          <w:i/>
          <w:sz w:val="20"/>
        </w:rPr>
        <w:t>Bitcoin-майнер строит вычислительные мощности, которые потребляют энергию. Glow-майнер строит солнечные мощности, которые производят энергию.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Солнечные станции проходят аудит, получают измерительный блок, передают данные о фактической работе и «майнят» GLW-токены. Между станциями существует конкуренция за фиксированный еженедельный пул эмиссии. Учитываются расположение, производство электроэнергии, местная стоимость энергии и предотвращённые выбросы. К январю 2026 года Glow сообщал о запуске сотой станции, а сейчас в реестре находится около 125 проверенных объектов.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Источник: </w:t>
      </w:r>
      <w:hyperlink r:id="rId11">
        <w:r>
          <w:rPr>
            <w:color w:val="0000FF"/>
            <w:u w:val="single"/>
            <w:rFonts w:ascii="Times New Roman" w:hAnsi="Times New Roman" w:eastAsia="Times New Roman"/>
            <w:sz w:val="19"/>
          </w:rPr>
          <w:t>Glow — The Simple Way to Fund Solar and Track Your Impact Onchain</w:t>
        </w:r>
      </w:hyperlink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Это уже почти дословная реализация нашей ранней формулы:</w:t>
      </w:r>
    </w:p>
    <w:p>
      <w:pPr>
        <w:pStyle w:val="AppendixQuote"/>
        <w:spacing w:after="80"/>
        <w:jc w:val="center"/>
      </w:pPr>
      <w:r>
        <w:rPr>
          <w:rFonts w:ascii="Times New Roman" w:hAnsi="Times New Roman" w:eastAsia="Times New Roman"/>
          <w:b w:val="0"/>
          <w:i w:val="0"/>
          <w:sz w:val="20"/>
        </w:rPr>
        <w:t>энергетический объект → проверенная физическая работа → майнинговая награда</w:t>
      </w:r>
    </w:p>
    <w:p>
      <w:pPr>
        <w:pStyle w:val="AppendixQuoteHeading"/>
        <w:spacing w:before="100" w:after="60"/>
      </w:pPr>
      <w:r>
        <w:rPr>
          <w:rFonts w:ascii="Times New Roman" w:hAnsi="Times New Roman" w:eastAsia="Times New Roman"/>
          <w:b/>
          <w:i w:val="0"/>
          <w:sz w:val="20"/>
        </w:rPr>
        <w:t>Самое важное: Ливан, июль 2026 года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9 июля Glow объявил, что сообщество полностью профинансировало солнечную станцию мощностью 250 кВт для Hôpital Saint-Charles в Ливане. На неё было делегировано более 800 000 GLW. Станция предназначена для устойчивого питания больницы при хронических отключениях и сокращения зависимости от дизельных генераторов. Glow также утверждает, что ещё пять ливанских объектов продолжали строиться во время военных действий.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Источник: </w:t>
      </w:r>
      <w:hyperlink r:id="rId12">
        <w:r>
          <w:rPr>
            <w:color w:val="0000FF"/>
            <w:u w:val="single"/>
            <w:rFonts w:ascii="Times New Roman" w:hAnsi="Times New Roman" w:eastAsia="Times New Roman"/>
            <w:sz w:val="19"/>
          </w:rPr>
          <w:t>Glow — Orion Frontier Is Fully Funded</w:t>
        </w:r>
      </w:hyperlink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Это уже не просто похожая криптовалюта. Это практически:</w:t>
      </w:r>
    </w:p>
    <w:p>
      <w:pPr>
        <w:pStyle w:val="AppendixQuote"/>
        <w:spacing w:after="80"/>
        <w:jc w:val="center"/>
      </w:pPr>
      <w:r>
        <w:rPr>
          <w:rFonts w:ascii="Times New Roman" w:hAnsi="Times New Roman" w:eastAsia="Times New Roman"/>
          <w:b w:val="0"/>
          <w:i/>
          <w:sz w:val="20"/>
        </w:rPr>
        <w:t>обратный биткоин + энергетика катастроф + критическая инфраструктура.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Причём сообщество не только вкладывает деньги, но и направляет эмиссию токенов в выбранную территорию и конкретный объект.</w:t>
      </w:r>
    </w:p>
    <w:p>
      <w:pPr>
        <w:pStyle w:val="AppendixQuoteHeading"/>
        <w:spacing w:before="100" w:after="60"/>
      </w:pPr>
      <w:r>
        <w:rPr>
          <w:rFonts w:ascii="Times New Roman" w:hAnsi="Times New Roman" w:eastAsia="Times New Roman"/>
          <w:b/>
          <w:i w:val="0"/>
          <w:sz w:val="20"/>
        </w:rPr>
        <w:t>Где Glow пока уже нашей системы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Glow в основном считает: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солнечную генерацию;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денежную выручку станции;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углеродный эффект;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установленную мощность.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Он пока не превращает в единый рынок: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холод;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воду;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связь;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резерв;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доступность;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скорость включения;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срок автономности;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управляемое снижение потребления;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восстановление жизненной функции.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То есть это близкий конкурент обратному биткоину, но ещё не полноценный аналог pMW/pGW и рынка энергетической полезности.</w:t>
      </w:r>
    </w:p>
    <w:p>
      <w:pPr>
        <w:pStyle w:val="AppendixQuoteHeading"/>
        <w:spacing w:before="160" w:after="60"/>
      </w:pPr>
      <w:r>
        <w:rPr>
          <w:rFonts w:ascii="Times New Roman" w:hAnsi="Times New Roman" w:eastAsia="Times New Roman"/>
          <w:b/>
          <w:i w:val="0"/>
          <w:sz w:val="22"/>
        </w:rPr>
        <w:t>2. Arkreen: энергия становится полноценным on-chain-активом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В 2025–2026 годах Arkreen довольно резко перешёл от токенизации зелёных сертификатов к формуле:</w:t>
      </w:r>
    </w:p>
    <w:p>
      <w:pPr>
        <w:pStyle w:val="AppendixQuote"/>
        <w:spacing w:after="80"/>
        <w:jc w:val="center"/>
      </w:pPr>
      <w:r>
        <w:rPr>
          <w:rFonts w:ascii="Times New Roman" w:hAnsi="Times New Roman" w:eastAsia="Times New Roman"/>
          <w:b w:val="0"/>
          <w:i/>
          <w:sz w:val="20"/>
        </w:rPr>
        <w:t>energy is becoming an on-chain native asset.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Arkreen сообщает, что через его протокол уже было оцифровано, погашено и монетизировано около 140 ГВт·ч солнечной генерации. В январе 2026 года он запустил Power Yield: токенизацию работающих солнечных объектов с реальным денежным потоком. Первый заявленный действующий узел представляет собой солнечную станцию мощностью 300 кВт в Таиланде с on-chain-измерением и автоматическим распределением денежного потока в стейблкоинах.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Источник: </w:t>
      </w:r>
      <w:hyperlink r:id="rId19">
        <w:r>
          <w:rPr>
            <w:color w:val="0000FF"/>
            <w:u w:val="single"/>
            <w:rFonts w:ascii="Times New Roman" w:hAnsi="Times New Roman" w:eastAsia="Times New Roman"/>
            <w:sz w:val="19"/>
          </w:rPr>
          <w:t>Arkreen — From Distributed Solar to On-Chain Native Energy Assets</w:t>
        </w:r>
      </w:hyperlink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Их цепочка уже выглядит так:</w:t>
      </w:r>
    </w:p>
    <w:p>
      <w:pPr>
        <w:pStyle w:val="AppendixQuote"/>
        <w:spacing w:after="80"/>
        <w:jc w:val="center"/>
      </w:pPr>
      <w:r>
        <w:rPr>
          <w:rFonts w:ascii="Times New Roman" w:hAnsi="Times New Roman" w:eastAsia="Times New Roman"/>
          <w:b w:val="0"/>
          <w:i w:val="0"/>
          <w:sz w:val="20"/>
        </w:rPr>
        <w:t>солнечный объект → телеметрия → on-chain asset → stablecoin cash flow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Это чрезвычайно близко к нашим: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оракулу;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OracleStatement;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Energy Delta Receivable;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RWA;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автоматическому waterfall;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Power-Backed Securities.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Arkreen также заявил о намерении запустить прототип энергетического стейблкоина, развивать распределённую солнечную энергетику совместно с edge AI и работать с off-grid-системами.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Источник: </w:t>
      </w:r>
      <w:hyperlink r:id="rId20">
        <w:r>
          <w:rPr>
            <w:color w:val="0000FF"/>
            <w:u w:val="single"/>
            <w:rFonts w:ascii="Times New Roman" w:hAnsi="Times New Roman" w:eastAsia="Times New Roman"/>
            <w:sz w:val="19"/>
          </w:rPr>
          <w:t>Arkreen — A Letter from the Founder: Why 2025 Changed Everything</w:t>
        </w:r>
      </w:hyperlink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Но Arkreen пока в основном токенизирует генерацию, сертификаты и поток от солнечного актива, а не многомерную практическую полезность мощности.</w:t>
      </w:r>
    </w:p>
    <w:p>
      <w:pPr>
        <w:pStyle w:val="AppendixQuoteHeading"/>
        <w:spacing w:before="160" w:after="60"/>
      </w:pPr>
      <w:r>
        <w:rPr>
          <w:rFonts w:ascii="Times New Roman" w:hAnsi="Times New Roman" w:eastAsia="Times New Roman"/>
          <w:b/>
          <w:i w:val="0"/>
          <w:sz w:val="22"/>
        </w:rPr>
        <w:t>3. Daylight: deCAPEX и энергетическая ячейка без первоначального платежа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Daylight строит распределённую сеть домашних солнечных установок и накопителей.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Домохозяйство получает: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солнечные панели;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аккумулятор;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резерв при отключении;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обслуживание;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снижение счёта;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при этом не вносит первоначальный CAPEX, а платит энергетическую подписку. Дома могут генерировать, хранить и локально передавать энергию, одновременно предоставляя мощность общей сети. В октябре 2025 года Daylight привлёк $15 млн акционерного капитала и проектную кредитную линию на $60 млн для масштабирования таких установок.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Источник: </w:t>
      </w:r>
      <w:hyperlink r:id="rId14">
        <w:r>
          <w:rPr>
            <w:color w:val="0000FF"/>
            <w:u w:val="single"/>
            <w:rFonts w:ascii="Times New Roman" w:hAnsi="Times New Roman" w:eastAsia="Times New Roman"/>
            <w:sz w:val="19"/>
          </w:rPr>
          <w:t>Daylight — Fundraise</w:t>
        </w:r>
      </w:hyperlink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Это очень близко к нашей базовой механике:</w:t>
      </w:r>
    </w:p>
    <w:p>
      <w:pPr>
        <w:pStyle w:val="AppendixQuote"/>
        <w:spacing w:after="80"/>
        <w:jc w:val="center"/>
      </w:pPr>
      <w:r>
        <w:rPr>
          <w:rFonts w:ascii="Times New Roman" w:hAnsi="Times New Roman" w:eastAsia="Times New Roman"/>
          <w:b w:val="0"/>
          <w:i w:val="0"/>
          <w:sz w:val="20"/>
        </w:rPr>
        <w:t>оборудование без CAPEX территории → локальная ячейка → поток платежей → возврат вложений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У Daylight пока почти отсутствует публичная конструкция «майнинга полезности». Но физическая и финансовая оболочка deCAPEX уже появляется.</w:t>
      </w:r>
    </w:p>
    <w:p>
      <w:pPr>
        <w:pStyle w:val="AppendixQuoteHeading"/>
        <w:spacing w:before="160" w:after="60"/>
      </w:pPr>
      <w:r>
        <w:rPr>
          <w:rFonts w:ascii="Times New Roman" w:hAnsi="Times New Roman" w:eastAsia="Times New Roman"/>
          <w:b/>
          <w:i w:val="0"/>
          <w:sz w:val="22"/>
        </w:rPr>
        <w:t>4. D-REC: маленькая распределённая генерация превращается в мировой финансовый продукт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D-REC занимается малыми объектами распределённой энергетики в развивающихся и недостаточно обслуживаемых регионах.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Система: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получает данные от небольших солнечных установок и мини-сетей;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проверяет реальную генерацию;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добавляет оценку социального и инфраструктурного воздействия;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выпускает специальную метку в международной системе I-TRACK;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соединяет локальный объект с глобальным корпоративным покупателем.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По данным самой организации, у неё более 400 ГВт·ч законтрактованных покупок, более 1 850 проверенных распределённых устройств, свыше 700 площадок и проекты либо pipeline в 22 странах Африки, Азии и Латинской Америки.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Источник: </w:t>
      </w:r>
      <w:hyperlink r:id="rId15">
        <w:r>
          <w:rPr>
            <w:color w:val="0000FF"/>
            <w:u w:val="single"/>
            <w:rFonts w:ascii="Times New Roman" w:hAnsi="Times New Roman" w:eastAsia="Times New Roman"/>
            <w:sz w:val="19"/>
          </w:rPr>
          <w:t>D-REC — официальный сайт</w:t>
        </w:r>
      </w:hyperlink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Это особенно близко к нашей модели для Судана, Гималаев, островов и других трудных зон:</w:t>
      </w:r>
    </w:p>
    <w:p>
      <w:pPr>
        <w:pStyle w:val="AppendixQuote"/>
        <w:spacing w:after="80"/>
        <w:jc w:val="center"/>
      </w:pPr>
      <w:r>
        <w:rPr>
          <w:rFonts w:ascii="Times New Roman" w:hAnsi="Times New Roman" w:eastAsia="Times New Roman"/>
          <w:b w:val="0"/>
          <w:i/>
          <w:sz w:val="20"/>
        </w:rPr>
        <w:t>маленькие физические капли объединяются и получают доступ к глобальному капиталу.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То есть это практически ранний вариант AMLake, но пока в форме сертификатного рынка. Они продают главным образом происхождение и воздействие, а не резерв, холод, воду, доступность и практическую мощность.</w:t>
      </w:r>
    </w:p>
    <w:p>
      <w:pPr>
        <w:pStyle w:val="AppendixQuoteHeading"/>
        <w:spacing w:before="160" w:after="60"/>
      </w:pPr>
      <w:r>
        <w:rPr>
          <w:rFonts w:ascii="Times New Roman" w:hAnsi="Times New Roman" w:eastAsia="Times New Roman"/>
          <w:b/>
          <w:i w:val="0"/>
          <w:sz w:val="22"/>
        </w:rPr>
        <w:t>5. Peak, Flex и Reserve уже становятся самостоятельными рынками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Параллельно энергетика без всякой криптовалюты движется к нашей логике производных продуктов.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Международное исследование ISGAN 2025 года описывает локальные рынки гибкости, где сетевые операторы покупают у распределённых объектов: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изменение потребления;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изменение генерации;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работу накопителей;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demand response;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снятие локальных ограничений;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отсрочку строительства или усиления сети.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То есть оператор платит уже не только за кВт·ч, а за изменение режима в нужном месте и в нужный момент.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Источник: </w:t>
      </w:r>
      <w:hyperlink r:id="rId16">
        <w:r>
          <w:rPr>
            <w:color w:val="0000FF"/>
            <w:u w:val="single"/>
            <w:rFonts w:ascii="Times New Roman" w:hAnsi="Times New Roman" w:eastAsia="Times New Roman"/>
            <w:sz w:val="19"/>
          </w:rPr>
          <w:t>ISGAN — Survey on Flexibility Market Implementation and Development</w:t>
        </w:r>
      </w:hyperlink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Это прямое подтверждение нашего слоя: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PEAK;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FLEX;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RESERVE;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GRID;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CONNECTION.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Пока эти продукты существуют в разных регламентах и измеряются разными способами. Единой нормализованной размерности уровня pMW/pGW пока не видно.</w:t>
      </w:r>
    </w:p>
    <w:p>
      <w:pPr>
        <w:pStyle w:val="AppendixQuoteHeading"/>
        <w:spacing w:before="160" w:after="60"/>
      </w:pPr>
      <w:r>
        <w:rPr>
          <w:rFonts w:ascii="Times New Roman" w:hAnsi="Times New Roman" w:eastAsia="Times New Roman"/>
          <w:b/>
          <w:i w:val="0"/>
          <w:sz w:val="22"/>
        </w:rPr>
        <w:t>6. Африка: новая маржинальность мини-сетей через цифровые нагрузки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В апреле 2025 года Global Energy Alliance for People and Planet описал модель, при которой удалённая мини-сеть получает дополнительный заработок не только с бедного местного потребителя, но и от: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Bitcoin-майнинга;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распределённых вычислений;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AI;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GPU;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связи;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воды;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цифровых сервисов.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Организация оценивает, что такие нагрузки потенциально могут давать в 5–10 раз больше выручки на единицу энергии, чем первоначальное бытовое потребление. В качестве примера приводится Virunga Energies в ДР Конго: подключение 6,5 МВт Bitcoin-майнинга, по приведённым данным, повысило загрузку гидростанции с 5% до 50%, а бытовой тариф снизился с $0,35 до $0,15 за кВт·ч. Эти цифры опубликованы как иллюстративный кейс GEAPP и требуют отдельной финансовой проверки.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 xml:space="preserve">Источник: </w:t>
      </w:r>
      <w:hyperlink r:id="rId18">
        <w:r>
          <w:rPr>
            <w:color w:val="0000FF"/>
            <w:u w:val="single"/>
            <w:rFonts w:ascii="Times New Roman" w:hAnsi="Times New Roman" w:eastAsia="Times New Roman"/>
            <w:sz w:val="19"/>
          </w:rPr>
          <w:t>GEAPP — Leveraging AI and Crypto to Power Mission 300</w:t>
        </w:r>
      </w:hyperlink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Это ещё не обратный биткоин. Здесь обычный Bitcoin выступает покупателем последней инстанции для невостребованной энергии.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Но экономический вывод полностью совпадает с нашим:</w:t>
      </w:r>
    </w:p>
    <w:p>
      <w:pPr>
        <w:pStyle w:val="AppendixQuote"/>
        <w:spacing w:after="80"/>
        <w:jc w:val="center"/>
      </w:pPr>
      <w:r>
        <w:rPr>
          <w:rFonts w:ascii="Times New Roman" w:hAnsi="Times New Roman" w:eastAsia="Times New Roman"/>
          <w:b w:val="0"/>
          <w:i/>
          <w:sz w:val="20"/>
        </w:rPr>
        <w:t>Мини-сеть не должна жить только на продаже электричества местному населению. Она должна выпускать одновременно несколько дорогих продуктов.</w:t>
      </w:r>
    </w:p>
    <w:p>
      <w:pPr>
        <w:pStyle w:val="AppendixQuoteHeading"/>
        <w:spacing w:before="160" w:after="60"/>
      </w:pPr>
      <w:r>
        <w:rPr>
          <w:rFonts w:ascii="Times New Roman" w:hAnsi="Times New Roman" w:eastAsia="Times New Roman"/>
          <w:b/>
          <w:i w:val="0"/>
          <w:sz w:val="22"/>
        </w:rPr>
        <w:t>Что я вижу в целом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Произошла важная перемена. Ещё два года назад рядом существовали отдельные эксперименты: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токен за солнечную генерацию;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сертификаты;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P2P-торговля;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Bitcoin на избытках энергии;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виртуальные электростанции.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К середине 2026 года они начали сходиться в одну конструкцию:</w:t>
      </w:r>
    </w:p>
    <w:p>
      <w:pPr>
        <w:pStyle w:val="AppendixQuote"/>
        <w:spacing w:after="80"/>
        <w:jc w:val="center"/>
      </w:pPr>
      <w:r>
        <w:rPr>
          <w:rFonts w:ascii="Times New Roman" w:hAnsi="Times New Roman" w:eastAsia="Times New Roman"/>
          <w:b w:val="0"/>
          <w:i w:val="0"/>
          <w:sz w:val="20"/>
        </w:rPr>
        <w:t>распределённый объект → измерение → доказательство → токен или RWA → автоматический денежный поток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Самый серьёзный сигнал сейчас даёт Glow в Ливане. Это уже почти прямое заявление права на тему:</w:t>
      </w:r>
    </w:p>
    <w:p>
      <w:pPr>
        <w:pStyle w:val="AppendixQuote"/>
        <w:spacing w:after="80"/>
        <w:jc w:val="center"/>
      </w:pPr>
      <w:r>
        <w:rPr>
          <w:rFonts w:ascii="Times New Roman" w:hAnsi="Times New Roman" w:eastAsia="Times New Roman"/>
          <w:b w:val="0"/>
          <w:i/>
          <w:sz w:val="20"/>
        </w:rPr>
        <w:t>солнечный майнинг в зоне разрушенной сети, профинансированный глобальным сообществом, с токеновой эмиссией и критической нагрузкой больницы.</w:t>
      </w:r>
    </w:p>
    <w:p>
      <w:pPr>
        <w:pStyle w:val="AppendixQuoteHeading"/>
        <w:spacing w:before="100" w:after="60"/>
      </w:pPr>
      <w:r>
        <w:rPr>
          <w:rFonts w:ascii="Times New Roman" w:hAnsi="Times New Roman" w:eastAsia="Times New Roman"/>
          <w:b/>
          <w:i w:val="0"/>
          <w:sz w:val="20"/>
        </w:rPr>
        <w:t>При этом полного аналога нашей конструкции я пока не обнаружил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Никто из найденных проектов публично не собрал в одной системе: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генерацию, экономию, резерв, холод, воду, связь и вычисления;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многомерное измерение полезности;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нормализацию в pMW/pGW;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Proof of Effect;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превращение события в юридическое право требования;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автоматический waterfall возврата CAPEX;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катастрофическую территорию как полноценный коммерческий рынок;</w:t>
      </w:r>
    </w:p>
    <w:p>
      <w:pPr>
        <w:pStyle w:val="AppendixQuote"/>
        <w:spacing w:after="20"/>
        <w:jc w:val="left"/>
      </w:pPr>
      <w:r>
        <w:rPr>
          <w:rFonts w:ascii="Times New Roman" w:hAnsi="Times New Roman" w:eastAsia="Times New Roman"/>
          <w:b w:val="0"/>
          <w:i w:val="0"/>
          <w:sz w:val="20"/>
        </w:rPr>
        <w:t>• сеть как оператора, оракула и клиринговую систему после исчезновения физических линий.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Поэтому рынок не опередил нашу общую архитектуру, но начал очень быстро собирать её отдельные части.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Главный практический вывод: 2028 год уже нельзя считать датой первого появления идеи на рынке. К 2028 году Glow, Arkreen и Daylight могут стать довольно крупными системами. Закрытое ядро для Арктики, Ливана, Гималаев или одного медицинско-водного контура разумно выводить раньше, хотя бы как:</w:t>
      </w:r>
    </w:p>
    <w:p>
      <w:pPr>
        <w:pStyle w:val="AppendixQuote"/>
        <w:spacing w:after="80"/>
        <w:jc w:val="center"/>
      </w:pPr>
      <w:r>
        <w:rPr>
          <w:rFonts w:ascii="Times New Roman" w:hAnsi="Times New Roman" w:eastAsia="Times New Roman"/>
          <w:b w:val="0"/>
          <w:i w:val="0"/>
          <w:sz w:val="20"/>
        </w:rPr>
        <w:t>ячейка → Proof of Utility → внутренняя единица → обычный денежный расчёт</w:t>
      </w:r>
    </w:p>
    <w:p>
      <w:pPr>
        <w:pStyle w:val="AppendixQuote"/>
        <w:spacing w:after="80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А публичную валютную оболочку действительно можно оставить на 2028 год.»</w:t>
      </w:r>
    </w:p>
    <w:p>
      <w:pPr>
        <w:spacing w:before="200"/>
      </w:pPr>
    </w:p>
    <w:p>
      <w:pPr>
        <w:pStyle w:val="Heading1"/>
      </w:pPr>
      <w:r>
        <w:t>Источники к приложению</w:t>
      </w:r>
    </w:p>
    <w:p>
      <w:pPr>
        <w:spacing w:after="40"/>
        <w:ind w:left="397" w:hanging="227"/>
      </w:pPr>
      <w:r>
        <w:rPr>
          <w:rFonts w:ascii="Times New Roman" w:hAnsi="Times New Roman" w:eastAsia="Times New Roman"/>
          <w:b w:val="0"/>
          <w:i w:val="0"/>
          <w:sz w:val="19"/>
        </w:rPr>
        <w:t xml:space="preserve">1. </w:t>
      </w:r>
      <w:hyperlink r:id="rId11">
        <w:r>
          <w:rPr>
            <w:color w:val="0000FF"/>
            <w:u w:val="single"/>
            <w:rFonts w:ascii="Times New Roman" w:hAnsi="Times New Roman" w:eastAsia="Times New Roman"/>
            <w:sz w:val="19"/>
          </w:rPr>
          <w:t>Glow. The Simple Way to Fund Solar and Track Your Impact Onchain.</w:t>
        </w:r>
      </w:hyperlink>
    </w:p>
    <w:p>
      <w:pPr>
        <w:spacing w:after="40"/>
        <w:ind w:left="397" w:hanging="227"/>
      </w:pPr>
      <w:r>
        <w:rPr>
          <w:rFonts w:ascii="Times New Roman" w:hAnsi="Times New Roman" w:eastAsia="Times New Roman"/>
          <w:b w:val="0"/>
          <w:i w:val="0"/>
          <w:sz w:val="19"/>
        </w:rPr>
        <w:t xml:space="preserve">2. </w:t>
      </w:r>
      <w:hyperlink r:id="rId12">
        <w:r>
          <w:rPr>
            <w:color w:val="0000FF"/>
            <w:u w:val="single"/>
            <w:rFonts w:ascii="Times New Roman" w:hAnsi="Times New Roman" w:eastAsia="Times New Roman"/>
            <w:sz w:val="19"/>
          </w:rPr>
          <w:t>Glow. Orion Frontier Is Fully Funded.</w:t>
        </w:r>
      </w:hyperlink>
    </w:p>
    <w:p>
      <w:pPr>
        <w:spacing w:after="40"/>
        <w:ind w:left="397" w:hanging="227"/>
      </w:pPr>
      <w:r>
        <w:rPr>
          <w:rFonts w:ascii="Times New Roman" w:hAnsi="Times New Roman" w:eastAsia="Times New Roman"/>
          <w:b w:val="0"/>
          <w:i w:val="0"/>
          <w:sz w:val="19"/>
        </w:rPr>
        <w:t xml:space="preserve">3. </w:t>
      </w:r>
      <w:hyperlink r:id="rId19">
        <w:r>
          <w:rPr>
            <w:color w:val="0000FF"/>
            <w:u w:val="single"/>
            <w:rFonts w:ascii="Times New Roman" w:hAnsi="Times New Roman" w:eastAsia="Times New Roman"/>
            <w:sz w:val="19"/>
          </w:rPr>
          <w:t>Arkreen. From Distributed Solar to On-Chain Native Energy Assets.</w:t>
        </w:r>
      </w:hyperlink>
    </w:p>
    <w:p>
      <w:pPr>
        <w:spacing w:after="40"/>
        <w:ind w:left="397" w:hanging="227"/>
      </w:pPr>
      <w:r>
        <w:rPr>
          <w:rFonts w:ascii="Times New Roman" w:hAnsi="Times New Roman" w:eastAsia="Times New Roman"/>
          <w:b w:val="0"/>
          <w:i w:val="0"/>
          <w:sz w:val="19"/>
        </w:rPr>
        <w:t xml:space="preserve">4. </w:t>
      </w:r>
      <w:hyperlink r:id="rId20">
        <w:r>
          <w:rPr>
            <w:color w:val="0000FF"/>
            <w:u w:val="single"/>
            <w:rFonts w:ascii="Times New Roman" w:hAnsi="Times New Roman" w:eastAsia="Times New Roman"/>
            <w:sz w:val="19"/>
          </w:rPr>
          <w:t>Arkreen. A Letter from the Founder: Why 2025 Changed Everything.</w:t>
        </w:r>
      </w:hyperlink>
    </w:p>
    <w:p>
      <w:pPr>
        <w:spacing w:after="40"/>
        <w:ind w:left="397" w:hanging="227"/>
      </w:pPr>
      <w:r>
        <w:rPr>
          <w:rFonts w:ascii="Times New Roman" w:hAnsi="Times New Roman" w:eastAsia="Times New Roman"/>
          <w:b w:val="0"/>
          <w:i w:val="0"/>
          <w:sz w:val="19"/>
        </w:rPr>
        <w:t xml:space="preserve">5. </w:t>
      </w:r>
      <w:hyperlink r:id="rId14">
        <w:r>
          <w:rPr>
            <w:color w:val="0000FF"/>
            <w:u w:val="single"/>
            <w:rFonts w:ascii="Times New Roman" w:hAnsi="Times New Roman" w:eastAsia="Times New Roman"/>
            <w:sz w:val="19"/>
          </w:rPr>
          <w:t>Daylight. Fundraise.</w:t>
        </w:r>
      </w:hyperlink>
    </w:p>
    <w:p>
      <w:pPr>
        <w:spacing w:after="40"/>
        <w:ind w:left="397" w:hanging="227"/>
      </w:pPr>
      <w:r>
        <w:rPr>
          <w:rFonts w:ascii="Times New Roman" w:hAnsi="Times New Roman" w:eastAsia="Times New Roman"/>
          <w:b w:val="0"/>
          <w:i w:val="0"/>
          <w:sz w:val="19"/>
        </w:rPr>
        <w:t xml:space="preserve">6. </w:t>
      </w:r>
      <w:hyperlink r:id="rId15">
        <w:r>
          <w:rPr>
            <w:color w:val="0000FF"/>
            <w:u w:val="single"/>
            <w:rFonts w:ascii="Times New Roman" w:hAnsi="Times New Roman" w:eastAsia="Times New Roman"/>
            <w:sz w:val="19"/>
          </w:rPr>
          <w:t>D-REC. Official site.</w:t>
        </w:r>
      </w:hyperlink>
    </w:p>
    <w:p>
      <w:pPr>
        <w:spacing w:after="40"/>
        <w:ind w:left="397" w:hanging="227"/>
      </w:pPr>
      <w:r>
        <w:rPr>
          <w:rFonts w:ascii="Times New Roman" w:hAnsi="Times New Roman" w:eastAsia="Times New Roman"/>
          <w:b w:val="0"/>
          <w:i w:val="0"/>
          <w:sz w:val="19"/>
        </w:rPr>
        <w:t xml:space="preserve">7. </w:t>
      </w:r>
      <w:hyperlink r:id="rId16">
        <w:r>
          <w:rPr>
            <w:color w:val="0000FF"/>
            <w:u w:val="single"/>
            <w:rFonts w:ascii="Times New Roman" w:hAnsi="Times New Roman" w:eastAsia="Times New Roman"/>
            <w:sz w:val="19"/>
          </w:rPr>
          <w:t>ISGAN. Survey on Flexibility Market Implementation and Development.</w:t>
        </w:r>
      </w:hyperlink>
    </w:p>
    <w:p>
      <w:pPr>
        <w:spacing w:after="40"/>
        <w:ind w:left="397" w:hanging="227"/>
      </w:pPr>
      <w:r>
        <w:rPr>
          <w:rFonts w:ascii="Times New Roman" w:hAnsi="Times New Roman" w:eastAsia="Times New Roman"/>
          <w:b w:val="0"/>
          <w:i w:val="0"/>
          <w:sz w:val="19"/>
        </w:rPr>
        <w:t xml:space="preserve">8. </w:t>
      </w:r>
      <w:hyperlink r:id="rId18">
        <w:r>
          <w:rPr>
            <w:color w:val="0000FF"/>
            <w:u w:val="single"/>
            <w:rFonts w:ascii="Times New Roman" w:hAnsi="Times New Roman" w:eastAsia="Times New Roman"/>
            <w:sz w:val="19"/>
          </w:rPr>
          <w:t>GEAPP. Leveraging AI and Crypto to Power Mission 300.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1134" w:right="1020" w:bottom="964" w:left="130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Times New Roman" w:hAnsi="Times New Roman"/>
        <w:sz w:val="17"/>
      </w:rPr>
      <w:t xml:space="preserve">Справка: обратный биткоин и Energy DePIN  |  21.07.2026  |  стр.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/>
        <w:b/>
        <w:sz w:val="18"/>
      </w:rPr>
      <w:t>А.А.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80"/>
      <w:jc w:val="both"/>
    </w:pPr>
    <w:rPr>
      <w:rFonts w:ascii="Times New Roman" w:hAnsi="Times New Roman" w:eastAsia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ppendixQuote">
    <w:name w:val="Appendix Quote"/>
    <w:pPr>
      <w:spacing w:line="259" w:lineRule="auto" w:after="80"/>
      <w:ind w:left="397" w:right="397"/>
    </w:pPr>
    <w:rPr>
      <w:rFonts w:ascii="Times New Roman" w:hAnsi="Times New Roman" w:eastAsia="Times New Roman"/>
      <w:sz w:val="20"/>
    </w:rPr>
  </w:style>
  <w:style w:type="paragraph" w:customStyle="1" w:styleId="AppendixQuoteHeading">
    <w:name w:val="Appendix Quote Heading"/>
    <w:pPr>
      <w:keepNext/>
      <w:ind w:left="397" w:right="397"/>
    </w:pPr>
    <w:rPr>
      <w:rFonts w:ascii="Times New Roman" w:hAnsi="Times New Roman" w:eastAsia="Times New Roman"/>
      <w:b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glow.org/blog/the-simple-way-to-fund-solar" TargetMode="External"/><Relationship Id="rId12" Type="http://schemas.openxmlformats.org/officeDocument/2006/relationships/hyperlink" Target="https://glow.org/blog/orion-frontier-fully-funded" TargetMode="External"/><Relationship Id="rId13" Type="http://schemas.openxmlformats.org/officeDocument/2006/relationships/hyperlink" Target="https://www.arkreen.com/blog/power-yield-update-first-live-node-revealed-a-300-kw-power-station-in-thailand/" TargetMode="External"/><Relationship Id="rId14" Type="http://schemas.openxmlformats.org/officeDocument/2006/relationships/hyperlink" Target="https://blog.godaylight.com/daylight-fundraise" TargetMode="External"/><Relationship Id="rId15" Type="http://schemas.openxmlformats.org/officeDocument/2006/relationships/hyperlink" Target="https://drecs.org/" TargetMode="External"/><Relationship Id="rId16" Type="http://schemas.openxmlformats.org/officeDocument/2006/relationships/hyperlink" Target="https://iea-isgan.org/survey-on-flexibility-market-implementation-and-development/" TargetMode="External"/><Relationship Id="rId17" Type="http://schemas.openxmlformats.org/officeDocument/2006/relationships/hyperlink" Target="https://iea-isgan.org/wp-content/uploads/2026/01/Flexibility-Acquisition-Mechanism-Designs.pdf" TargetMode="External"/><Relationship Id="rId18" Type="http://schemas.openxmlformats.org/officeDocument/2006/relationships/hyperlink" Target="https://energyalliance.org/ai-crypto-mission-300-energy-access/" TargetMode="External"/><Relationship Id="rId19" Type="http://schemas.openxmlformats.org/officeDocument/2006/relationships/hyperlink" Target="https://www.arkreen.com/blog/from-distributed-solar-to-on-chain-native-energy-assets-arkreens-business-model-and-flywheel/" TargetMode="External"/><Relationship Id="rId20" Type="http://schemas.openxmlformats.org/officeDocument/2006/relationships/hyperlink" Target="https://www.arkreen.com/blog/a-letter-from-the-founder-why-2025-changed-everything-for-arkre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 В.И. Млынчику: обратный биткоин и Energy DePIN</dc:title>
  <dc:subject>Близкие проекты и рыночные сигналы</dc:subject>
  <dc:creator>А.А.</dc:creator>
  <cp:keywords>обратный биткоин, Energy DePIN, pMW, pGW, Glow, Arkreen, Daylight, D-REC</cp:keywords>
  <dc:description>Подготовлено 21.07.2026</dc:description>
  <cp:lastModifiedBy>А.А.</cp:lastModifiedBy>
  <cp:revision>1</cp:revision>
  <dcterms:created xsi:type="dcterms:W3CDTF">2013-12-23T23:15:00Z</dcterms:created>
  <dcterms:modified xsi:type="dcterms:W3CDTF">2013-12-23T23:15:00Z</dcterms:modified>
  <cp:category/>
</cp:coreProperties>
</file>