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Методика сравнения квалификации главных энергетиков</w:t>
      </w:r>
    </w:p>
    <w:p>
      <w:pPr>
        <w:pStyle w:val="Subtitle"/>
      </w:pPr>
      <w:r>
        <w:t>Создание систем преобразование и мышление</w:t>
        <w:br/>
        <w:t>28 сентября 2026 года</w:t>
      </w:r>
    </w:p>
    <w:p>
      <w:r>
        <w:rPr>
          <w:b/>
        </w:rPr>
        <w:t>Назначение: вести доказательное сравнение людей, способных создавать энергетическую основу жизни в новых условиях, преобразовывать существующие системы и воплощать новые способы организации энергии и деятельности.</w:t>
      </w:r>
    </w:p>
    <w:p>
      <w:r>
        <w:rPr>
          <w:b w:val="0"/>
        </w:rPr>
        <w:t>Методика связана с индивидуальной программой версии 2.0. Единица оценки: подтверждённая способность и результат в заданных условиях. Учебные часы, длительность подготовки и скорость усвоения в оценку не входят.</w:t>
      </w:r>
    </w:p>
    <w:tbl>
      <w:tblPr>
        <w:tblW w:type="auto" w:w="0"/>
        <w:jc w:val="center"/>
        <w:tblLayout w:type="fixed"/>
        <w:tblLook w:firstColumn="1" w:firstRow="1" w:lastColumn="0" w:lastRow="0" w:noHBand="0" w:noVBand="1" w:val="04A0"/>
      </w:tblPr>
      <w:tblGrid>
        <w:gridCol w:w="2268"/>
        <w:gridCol w:w="3685"/>
        <w:gridCol w:w="3685"/>
      </w:tblGrid>
      <w:tr>
        <w:trPr>
          <w:cantSplit/>
          <w:tblHeader/>
        </w:trPr>
        <w:tc>
          <w:tcPr>
            <w:tcW w:type="dxa" w:w="2268"/>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Способность</w:t>
            </w:r>
          </w:p>
        </w:tc>
        <w:tc>
          <w:tcPr>
            <w:tcW w:type="dxa" w:w="3685"/>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Главный вопрос</w:t>
            </w:r>
          </w:p>
        </w:tc>
        <w:tc>
          <w:tcPr>
            <w:tcW w:type="dxa" w:w="3685"/>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Примеры доказательств</w:t>
            </w:r>
          </w:p>
        </w:tc>
      </w:tr>
      <w:tr>
        <w:trPr>
          <w:cantSplit/>
        </w:trPr>
        <w:tc>
          <w:tcPr>
            <w:tcW w:type="dxa" w:w="2268"/>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Создание</w:t>
            </w:r>
          </w:p>
        </w:tc>
        <w:tc>
          <w:tcPr>
            <w:tcW w:type="dxa" w:w="368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Какую жизнеспособную систему человек способен развернуть?</w:t>
            </w:r>
          </w:p>
        </w:tc>
        <w:tc>
          <w:tcPr>
            <w:tcW w:type="dxa" w:w="368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Развёртывание, пуск, балансы, автономность, ремонт, эксплуатация.</w:t>
            </w:r>
          </w:p>
        </w:tc>
      </w:tr>
      <w:tr>
        <w:trPr>
          <w:cantSplit/>
        </w:trPr>
        <w:tc>
          <w:tcPr>
            <w:tcW w:type="dxa" w:w="2268"/>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Преобразование</w:t>
            </w:r>
          </w:p>
        </w:tc>
        <w:tc>
          <w:tcPr>
            <w:tcW w:type="dxa" w:w="3685"/>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Что человек изменил в надёжности и чистой экономике действующей системы?</w:t>
            </w:r>
          </w:p>
        </w:tc>
        <w:tc>
          <w:tcPr>
            <w:tcW w:type="dxa" w:w="3685"/>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Исходное состояние, решения, данные после вмешательства, подтверждённый вклад.</w:t>
            </w:r>
          </w:p>
        </w:tc>
      </w:tr>
      <w:tr>
        <w:trPr>
          <w:cantSplit/>
        </w:trPr>
        <w:tc>
          <w:tcPr>
            <w:tcW w:type="dxa" w:w="2268"/>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Мышление</w:t>
            </w:r>
          </w:p>
        </w:tc>
        <w:tc>
          <w:tcPr>
            <w:tcW w:type="dxa" w:w="368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Какие новые возможности человек увидел, обосновал и реализовал?</w:t>
            </w:r>
          </w:p>
        </w:tc>
        <w:tc>
          <w:tcPr>
            <w:tcW w:type="dxa" w:w="368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Постановка задачи, альтернативы, проверка гипотезы, результат, перенос метода.</w:t>
            </w:r>
          </w:p>
        </w:tc>
      </w:tr>
    </w:tbl>
    <w:p>
      <w:pPr>
        <w:spacing w:after="0" w:line="60" w:lineRule="exact"/>
      </w:pPr>
    </w:p>
    <w:p>
      <w:pPr>
        <w:pStyle w:val="Heading2"/>
      </w:pPr>
      <w:r>
        <w:t>Статус сравнения</w:t>
      </w:r>
    </w:p>
    <w:p>
      <w:r>
        <w:rPr>
          <w:b w:val="0"/>
        </w:rPr>
        <w:t>Прежняя сумма из девяти взвешенных критериев отменена в действующей версии. Сохраняется профиль по трём способностям с указанием среды, масштаба, личной роли и силы доказательств. Общие числовые места пока не присваиваются.</w:t>
      </w:r>
    </w:p>
    <w:p>
      <w:r>
        <w:rPr>
          <w:b w:val="0"/>
        </w:rPr>
        <w:t>Внутри сопоставимой миссии допускается обоснованное сравнение по заранее согласованным условиям и показателям. Между разными профилями фиксируются сильные стороны и ограничения. Формулировка лидерства всегда ограничивается обследованной выборкой и конкретной задачей.</w:t>
      </w:r>
    </w:p>
    <w:p>
      <w:pPr>
        <w:pStyle w:val="Heading2"/>
      </w:pPr>
      <w:r>
        <w:t>Связь с базовыми знаниями</w:t>
      </w:r>
    </w:p>
    <w:p>
      <w:r>
        <w:rPr>
          <w:b w:val="0"/>
        </w:rPr>
        <w:t>Б01–Б16 задают основу личной подготовки. Известная тема засчитывается после проверки; неподтверждённая остаётся открытой. Полнота базы и масштаб практической ответственности показываются отдельно. Название должности, число дипломов и известность не устанавливают положение в сравнении.</w:t>
      </w:r>
    </w:p>
    <w:p>
      <w:pPr>
        <w:pStyle w:val="Heading1"/>
        <w:pageBreakBefore/>
      </w:pPr>
      <w:r>
        <w:t>1 Создание энергетической основы жизни</w:t>
      </w:r>
    </w:p>
    <w:p>
      <w:r>
        <w:rPr>
          <w:b w:val="0"/>
        </w:rPr>
        <w:t>Сначала определяются исходные условия: среда, население, необходимые услуги, доступные местные ресурсы, стартовый комплект, разрешённые поставки, бюджет и последствия отказов. Термин «с нуля» раскрывается в паспорте миссии.</w:t>
      </w:r>
    </w:p>
    <w:tbl>
      <w:tblPr>
        <w:tblW w:type="auto" w:w="0"/>
        <w:jc w:val="center"/>
        <w:tblLayout w:type="fixed"/>
        <w:tblLook w:firstColumn="1" w:firstRow="1" w:lastColumn="0" w:lastRow="0" w:noHBand="0" w:noVBand="1" w:val="04A0"/>
      </w:tblPr>
      <w:tblGrid>
        <w:gridCol w:w="2835"/>
        <w:gridCol w:w="6803"/>
      </w:tblGrid>
      <w:tr>
        <w:trPr>
          <w:cantSplit/>
          <w:tblHeader/>
        </w:trPr>
        <w:tc>
          <w:tcPr>
            <w:tcW w:type="dxa" w:w="2835"/>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Критерий</w:t>
            </w:r>
          </w:p>
        </w:tc>
        <w:tc>
          <w:tcPr>
            <w:tcW w:type="dxa" w:w="6803"/>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Что подтверждает сильное решение</w:t>
            </w:r>
          </w:p>
        </w:tc>
      </w:tr>
      <w:tr>
        <w:trPr>
          <w:cantSplit/>
        </w:trPr>
        <w:tc>
          <w:tcPr>
            <w:tcW w:type="dxa" w:w="283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Полнота обеспечения</w:t>
            </w:r>
          </w:p>
        </w:tc>
        <w:tc>
          <w:tcPr>
            <w:tcW w:type="dxa" w:w="6803"/>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Связаны энергия, вода, воздух, пища, тепло, свет, связь, транспорт, производство и ремонт.</w:t>
            </w:r>
          </w:p>
        </w:tc>
      </w:tr>
      <w:tr>
        <w:trPr>
          <w:cantSplit/>
        </w:trPr>
        <w:tc>
          <w:tcPr>
            <w:tcW w:type="dxa" w:w="2835"/>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Реализуемость запуска</w:t>
            </w:r>
          </w:p>
        </w:tc>
        <w:tc>
          <w:tcPr>
            <w:tcW w:type="dxa" w:w="6803"/>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Есть энергия и средства для доставки, монтажа, пуска и перехода к штатной эксплуатации.</w:t>
            </w:r>
          </w:p>
        </w:tc>
      </w:tr>
      <w:tr>
        <w:trPr>
          <w:cantSplit/>
        </w:trPr>
        <w:tc>
          <w:tcPr>
            <w:tcW w:type="dxa" w:w="283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Устойчивость</w:t>
            </w:r>
          </w:p>
        </w:tc>
        <w:tc>
          <w:tcPr>
            <w:tcW w:type="dxa" w:w="6803"/>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Проверены выбранные отказы, восстановление, внешние зависимости и качество жизненно важных услуг.</w:t>
            </w:r>
          </w:p>
        </w:tc>
      </w:tr>
      <w:tr>
        <w:trPr>
          <w:cantSplit/>
        </w:trPr>
        <w:tc>
          <w:tcPr>
            <w:tcW w:type="dxa" w:w="2835"/>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Ремонт и ресурс</w:t>
            </w:r>
          </w:p>
        </w:tc>
        <w:tc>
          <w:tcPr>
            <w:tcW w:type="dxa" w:w="6803"/>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Доступны диагностика, компетенции, материалы и запасные части; последствия старения учтены.</w:t>
            </w:r>
          </w:p>
        </w:tc>
      </w:tr>
      <w:tr>
        <w:trPr>
          <w:cantSplit/>
        </w:trPr>
        <w:tc>
          <w:tcPr>
            <w:tcW w:type="dxa" w:w="283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Возможность развития</w:t>
            </w:r>
          </w:p>
        </w:tc>
        <w:tc>
          <w:tcPr>
            <w:tcW w:type="dxa" w:w="6803"/>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Понятно, как система принимает новые нагрузки и расширяет полезную деятельность.</w:t>
            </w:r>
          </w:p>
        </w:tc>
      </w:tr>
      <w:tr>
        <w:trPr>
          <w:cantSplit/>
        </w:trPr>
        <w:tc>
          <w:tcPr>
            <w:tcW w:type="dxa" w:w="2835"/>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Цена обеспечения</w:t>
            </w:r>
          </w:p>
        </w:tc>
        <w:tc>
          <w:tcPr>
            <w:tcW w:type="dxa" w:w="6803"/>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Учтены оборудование, доставка, труд, обслуживание, потери, запасы и воздействие на среду.</w:t>
            </w:r>
          </w:p>
        </w:tc>
      </w:tr>
    </w:tbl>
    <w:p>
      <w:pPr>
        <w:spacing w:after="0" w:line="60" w:lineRule="exact"/>
      </w:pPr>
    </w:p>
    <w:p>
      <w:pPr>
        <w:pStyle w:val="Heading2"/>
      </w:pPr>
      <w:r>
        <w:t>Среда сравнения</w:t>
      </w:r>
    </w:p>
    <w:p>
      <w:r>
        <w:rPr>
          <w:b w:val="0"/>
        </w:rPr>
        <w:t>Арктика, Антарктика, Гималаи, Путорана, Луна и Марс формируют разные задания. Сравниваются конкретные условия площадок. Решение для одного объекта не автоматически подтверждает готовность к другому.</w:t>
      </w:r>
    </w:p>
    <w:p>
      <w:r>
        <w:rPr>
          <w:b w:val="0"/>
        </w:rPr>
        <w:t>Для земной практики собираются данные эксплуатации. Для внеземных миссий отдельно отмечаются расчёт, стенд, аналоговая среда и испытания в целевой среде. Заявленная архитектура будущего поселения сохраняет свой проектный статус. NASA служит одним из источников конкретных требований и технологических задач [3].</w:t>
      </w:r>
    </w:p>
    <w:p>
      <w:pPr>
        <w:pStyle w:val="Heading2"/>
      </w:pPr>
      <w:r>
        <w:t>Роль человека</w:t>
      </w:r>
    </w:p>
    <w:p>
      <w:r>
        <w:rPr>
          <w:b w:val="0"/>
        </w:rPr>
        <w:t>Фиксируется, какие решения он принял лично, за какие интерфейсы отвечал, как проверял работу специалистов и что делал при отклонениях. Масштаб команды и бюджет описывают контекст. Для оценки важна способность удерживать целую систему и обеспечить исполнение.</w:t>
      </w:r>
    </w:p>
    <w:p>
      <w:pPr>
        <w:pStyle w:val="Heading1"/>
        <w:pageBreakBefore/>
      </w:pPr>
      <w:r>
        <w:t>2 Преобразование и качество мышления</w:t>
      </w:r>
    </w:p>
    <w:p>
      <w:pPr>
        <w:pStyle w:val="Heading2"/>
      </w:pPr>
      <w:r>
        <w:t>Преобразование действующей системы</w:t>
      </w:r>
    </w:p>
    <w:tbl>
      <w:tblPr>
        <w:tblW w:type="auto" w:w="0"/>
        <w:jc w:val="center"/>
        <w:tblLayout w:type="fixed"/>
        <w:tblLook w:firstColumn="1" w:firstRow="1" w:lastColumn="0" w:lastRow="0" w:noHBand="0" w:noVBand="1" w:val="04A0"/>
      </w:tblPr>
      <w:tblGrid>
        <w:gridCol w:w="2835"/>
        <w:gridCol w:w="6803"/>
      </w:tblGrid>
      <w:tr>
        <w:trPr>
          <w:cantSplit/>
          <w:tblHeader/>
        </w:trPr>
        <w:tc>
          <w:tcPr>
            <w:tcW w:type="dxa" w:w="2835"/>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Критерий</w:t>
            </w:r>
          </w:p>
        </w:tc>
        <w:tc>
          <w:tcPr>
            <w:tcW w:type="dxa" w:w="6803"/>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Проверка</w:t>
            </w:r>
          </w:p>
        </w:tc>
      </w:tr>
      <w:tr>
        <w:trPr>
          <w:cantSplit/>
        </w:trPr>
        <w:tc>
          <w:tcPr>
            <w:tcW w:type="dxa" w:w="283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Надёжность и безопасность</w:t>
            </w:r>
          </w:p>
        </w:tc>
        <w:tc>
          <w:tcPr>
            <w:tcW w:type="dxa" w:w="6803"/>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Изменились ли риски, доступность услуги, характер отказов и восстановление; чем подтверждены изменения?</w:t>
            </w:r>
          </w:p>
        </w:tc>
      </w:tr>
      <w:tr>
        <w:trPr>
          <w:cantSplit/>
        </w:trPr>
        <w:tc>
          <w:tcPr>
            <w:tcW w:type="dxa" w:w="2835"/>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Чистая экономика</w:t>
            </w:r>
          </w:p>
        </w:tc>
        <w:tc>
          <w:tcPr>
            <w:tcW w:type="dxa" w:w="6803"/>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Каков эффект после всех существенных инвестиций, затрат, обязательств, ремонтов и рисков?</w:t>
            </w:r>
          </w:p>
        </w:tc>
      </w:tr>
      <w:tr>
        <w:trPr>
          <w:cantSplit/>
        </w:trPr>
        <w:tc>
          <w:tcPr>
            <w:tcW w:type="dxa" w:w="283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Физическая результативность</w:t>
            </w:r>
          </w:p>
        </w:tc>
        <w:tc>
          <w:tcPr>
            <w:tcW w:type="dxa" w:w="6803"/>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Какие потери устранены и полезные услуги получены при сопоставимом качестве и условиях?</w:t>
            </w:r>
          </w:p>
        </w:tc>
      </w:tr>
      <w:tr>
        <w:trPr>
          <w:cantSplit/>
        </w:trPr>
        <w:tc>
          <w:tcPr>
            <w:tcW w:type="dxa" w:w="2835"/>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Устойчивость результата</w:t>
            </w:r>
          </w:p>
        </w:tc>
        <w:tc>
          <w:tcPr>
            <w:tcW w:type="dxa" w:w="6803"/>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Сохраняется ли эффект в существенных режимах и после передачи эксплуатации?</w:t>
            </w:r>
          </w:p>
        </w:tc>
      </w:tr>
      <w:tr>
        <w:trPr>
          <w:cantSplit/>
        </w:trPr>
        <w:tc>
          <w:tcPr>
            <w:tcW w:type="dxa" w:w="283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Личный вклад</w:t>
            </w:r>
          </w:p>
        </w:tc>
        <w:tc>
          <w:tcPr>
            <w:tcW w:type="dxa" w:w="6803"/>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Есть ли связь между решениями участника и результатом; подтверждают ли её данные и другие участники?</w:t>
            </w:r>
          </w:p>
        </w:tc>
      </w:tr>
    </w:tbl>
    <w:p>
      <w:pPr>
        <w:spacing w:after="0" w:line="60" w:lineRule="exact"/>
      </w:pPr>
    </w:p>
    <w:p>
      <w:r>
        <w:rPr>
          <w:b w:val="0"/>
        </w:rPr>
        <w:t>База сравнения учитывает погоду, загрузку, качество услуги, состояние активов и внешние ограничения. Поддержание уже высокого уровня тоже учитывается. Один денежный поток не суммируется повторно под разными названиями. Полезные ориентиры: показатели и базовые уровни ISO 50006, управление активами ISO 55001 [1, 2].</w:t>
      </w:r>
    </w:p>
    <w:p>
      <w:pPr>
        <w:pStyle w:val="Heading2"/>
      </w:pPr>
      <w:r>
        <w:t>Мышление и новые возможности</w:t>
      </w:r>
    </w:p>
    <w:p>
      <w:r>
        <w:rPr>
          <w:b w:val="0"/>
        </w:rPr>
        <w:t>Оцениваются постановка задачи, обнаружение скрытого ограничения, качество альтернатив, проверяемость гипотезы, понимание физических границ, организация исполнения и перенос решения. Участник показывает, почему выбрал метод и что могло бы опровергнуть его вывод.</w:t>
      </w:r>
    </w:p>
    <w:p>
      <w:r>
        <w:rPr>
          <w:b w:val="0"/>
        </w:rPr>
        <w:t>Сильное доказательство включает реализованный результат и независимую проверку. Новизна формулировки сама по себе недостаточна. Командная работа и ИИ учитываются с точным описанием личного вклада и способа проверки.</w:t>
      </w:r>
    </w:p>
    <w:p>
      <w:r>
        <w:rPr>
          <w:b w:val="0"/>
        </w:rPr>
        <w:t>Отсылка к «энергии мысли» опирается на официальное описание модели Минэнерго, где понятие связано с управленческими навыками и концепциями [4]. Физические балансы и результаты мышления получают соответствующие им измерители. Величины расхода энергии не складываются с оценками интеллектуального вклада.</w:t>
      </w:r>
    </w:p>
    <w:p>
      <w:pPr>
        <w:pStyle w:val="Heading2"/>
      </w:pPr>
      <w:r>
        <w:t>Существенные пробелы</w:t>
      </w:r>
    </w:p>
    <w:p>
      <w:r>
        <w:rPr>
          <w:b w:val="0"/>
        </w:rPr>
        <w:t>Неприемлемый риск для конкретной миссии или недостоверное доказательство блокируют признание соответствующего результата. Участнику предоставляется возможность объяснить обстоятельства и исправить ошибку. Открытое сообщение об инциденте само по себе не ухудшает оценку.</w:t>
      </w:r>
    </w:p>
    <w:p>
      <w:pPr>
        <w:pStyle w:val="Heading1"/>
        <w:pageBreakBefore/>
      </w:pPr>
      <w:r>
        <w:t>3 Доказательства и проверка готовности</w:t>
      </w:r>
    </w:p>
    <w:tbl>
      <w:tblPr>
        <w:tblW w:type="auto" w:w="0"/>
        <w:jc w:val="center"/>
        <w:tblLayout w:type="fixed"/>
        <w:tblLook w:firstColumn="1" w:firstRow="1" w:lastColumn="0" w:lastRow="0" w:noHBand="0" w:noVBand="1" w:val="04A0"/>
      </w:tblPr>
      <w:tblGrid>
        <w:gridCol w:w="2438"/>
        <w:gridCol w:w="7200"/>
      </w:tblGrid>
      <w:tr>
        <w:trPr>
          <w:cantSplit/>
          <w:tblHeader/>
        </w:trPr>
        <w:tc>
          <w:tcPr>
            <w:tcW w:type="dxa" w:w="2438"/>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Стадия</w:t>
            </w:r>
          </w:p>
        </w:tc>
        <w:tc>
          <w:tcPr>
            <w:tcW w:type="dxa" w:w="7200"/>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Что установлено</w:t>
            </w:r>
          </w:p>
        </w:tc>
      </w:tr>
      <w:tr>
        <w:trPr>
          <w:cantSplit/>
        </w:trPr>
        <w:tc>
          <w:tcPr>
            <w:tcW w:type="dxa" w:w="2438"/>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Замысел</w:t>
            </w:r>
          </w:p>
        </w:tc>
        <w:tc>
          <w:tcPr>
            <w:tcW w:type="dxa" w:w="7200"/>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Поставлена задача и описан предполагаемый способ решения.</w:t>
            </w:r>
          </w:p>
        </w:tc>
      </w:tr>
      <w:tr>
        <w:trPr>
          <w:cantSplit/>
        </w:trPr>
        <w:tc>
          <w:tcPr>
            <w:tcW w:type="dxa" w:w="2438"/>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Расчёт</w:t>
            </w:r>
          </w:p>
        </w:tc>
        <w:tc>
          <w:tcPr>
            <w:tcW w:type="dxa" w:w="7200"/>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Есть воспроизводимая модель, исходные данные, допущения и границы применимости.</w:t>
            </w:r>
          </w:p>
        </w:tc>
      </w:tr>
      <w:tr>
        <w:trPr>
          <w:cantSplit/>
        </w:trPr>
        <w:tc>
          <w:tcPr>
            <w:tcW w:type="dxa" w:w="2438"/>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Испытание</w:t>
            </w:r>
          </w:p>
        </w:tc>
        <w:tc>
          <w:tcPr>
            <w:tcW w:type="dxa" w:w="7200"/>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Решение проверено с указанием стенда, аналоговой или целевой среды и условий опыта.</w:t>
            </w:r>
          </w:p>
        </w:tc>
      </w:tr>
      <w:tr>
        <w:trPr>
          <w:cantSplit/>
        </w:trPr>
        <w:tc>
          <w:tcPr>
            <w:tcW w:type="dxa" w:w="2438"/>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Эксплуатация</w:t>
            </w:r>
          </w:p>
        </w:tc>
        <w:tc>
          <w:tcPr>
            <w:tcW w:type="dxa" w:w="7200"/>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Есть данные работы в заявленной среде и существенных режимах.</w:t>
            </w:r>
          </w:p>
        </w:tc>
      </w:tr>
      <w:tr>
        <w:trPr>
          <w:cantSplit/>
        </w:trPr>
        <w:tc>
          <w:tcPr>
            <w:tcW w:type="dxa" w:w="2438"/>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Повторение</w:t>
            </w:r>
          </w:p>
        </w:tc>
        <w:tc>
          <w:tcPr>
            <w:tcW w:type="dxa" w:w="7200"/>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Результат воспроизведён в другом согласованном контексте с объяснением переносимости.</w:t>
            </w:r>
          </w:p>
        </w:tc>
      </w:tr>
    </w:tbl>
    <w:p>
      <w:pPr>
        <w:spacing w:after="0" w:line="60" w:lineRule="exact"/>
      </w:pPr>
    </w:p>
    <w:p>
      <w:r>
        <w:rPr>
          <w:b w:val="0"/>
        </w:rPr>
        <w:t>Стадия относится к конкретному утверждению. Она не является универсальным баллом человека. На карточке также показываются проверяющий, независимость проверки, ограничения и дата актуализации.</w:t>
      </w:r>
    </w:p>
    <w:tbl>
      <w:tblPr>
        <w:tblW w:type="auto" w:w="0"/>
        <w:jc w:val="center"/>
        <w:tblLayout w:type="fixed"/>
        <w:tblLook w:firstColumn="1" w:firstRow="1" w:lastColumn="0" w:lastRow="0" w:noHBand="0" w:noVBand="1" w:val="04A0"/>
      </w:tblPr>
      <w:tblGrid>
        <w:gridCol w:w="794"/>
        <w:gridCol w:w="8844"/>
      </w:tblGrid>
      <w:tr>
        <w:trPr>
          <w:cantSplit/>
          <w:tblHeader/>
        </w:trPr>
        <w:tc>
          <w:tcPr>
            <w:tcW w:type="dxa" w:w="794"/>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Код</w:t>
            </w:r>
          </w:p>
        </w:tc>
        <w:tc>
          <w:tcPr>
            <w:tcW w:type="dxa" w:w="8844"/>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Качество доказательства</w:t>
            </w:r>
          </w:p>
        </w:tc>
      </w:tr>
      <w:tr>
        <w:trPr>
          <w:cantSplit/>
        </w:trPr>
        <w:tc>
          <w:tcPr>
            <w:tcW w:type="dxa" w:w="794"/>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A</w:t>
            </w:r>
          </w:p>
        </w:tc>
        <w:tc>
          <w:tcPr>
            <w:tcW w:type="dxa" w:w="8844"/>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Независимая проверка первичных данных, наблюдаемая защита или иной надлежащий способ проверки конкретного утверждения.</w:t>
            </w:r>
          </w:p>
        </w:tc>
      </w:tr>
      <w:tr>
        <w:trPr>
          <w:cantSplit/>
        </w:trPr>
        <w:tc>
          <w:tcPr>
            <w:tcW w:type="dxa" w:w="794"/>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B</w:t>
            </w:r>
          </w:p>
        </w:tc>
        <w:tc>
          <w:tcPr>
            <w:tcW w:type="dxa" w:w="8844"/>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Прослеживаемые первичные данные, воспроизводимый расчёт и подтверждённая ответственность при ограниченной независимой проверке.</w:t>
            </w:r>
          </w:p>
        </w:tc>
      </w:tr>
      <w:tr>
        <w:trPr>
          <w:cantSplit/>
        </w:trPr>
        <w:tc>
          <w:tcPr>
            <w:tcW w:type="dxa" w:w="794"/>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C</w:t>
            </w:r>
          </w:p>
        </w:tc>
        <w:tc>
          <w:tcPr>
            <w:tcW w:type="dxa" w:w="8844"/>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Заявление участника, работодателя или наградное описание без достаточного пакета проверки результата.</w:t>
            </w:r>
          </w:p>
        </w:tc>
      </w:tr>
      <w:tr>
        <w:trPr>
          <w:cantSplit/>
        </w:trPr>
        <w:tc>
          <w:tcPr>
            <w:tcW w:type="dxa" w:w="794"/>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D</w:t>
            </w:r>
          </w:p>
        </w:tc>
        <w:tc>
          <w:tcPr>
            <w:tcW w:type="dxa" w:w="8844"/>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Неподтверждённое сообщение. В сравнении достижений не используется.</w:t>
            </w:r>
          </w:p>
        </w:tc>
      </w:tr>
    </w:tbl>
    <w:p>
      <w:pPr>
        <w:spacing w:after="0" w:line="60" w:lineRule="exact"/>
      </w:pPr>
    </w:p>
    <w:p>
      <w:pPr>
        <w:pStyle w:val="Heading2"/>
      </w:pPr>
      <w:r>
        <w:t>Проверка базового знания</w:t>
      </w:r>
    </w:p>
    <w:p>
      <w:r>
        <w:rPr>
          <w:b w:val="0"/>
        </w:rPr>
        <w:t>Объяснить смысл; решить незнакомый вариант; проверить ответ независимым способом; назвать ограничения; предъявить результат. Уже освоенное можно зачесть сразу. Скорость прохождения и длительность занятий не дают преимуществ. Реальное время реакции учитывается только в требованиях конкретного эксплуатационного сценария.</w:t>
      </w:r>
    </w:p>
    <w:p>
      <w:pPr>
        <w:pStyle w:val="Heading2"/>
      </w:pPr>
      <w:r>
        <w:t>Пакет миссии</w:t>
      </w:r>
    </w:p>
    <w:p>
      <w:r>
        <w:rPr>
          <w:b w:val="0"/>
        </w:rPr>
        <w:t>Исходное состояние, полезная услуга, ресурсы, личная роль, решение, альтернативы, данные, расчёт, протоколы испытаний, риски, экономика, замечания рецензентов и границы признания. Достаточность периода наблюдений определяется режимами объекта и заявлением: сезонный вывод требует данных соответствующего сезона.</w:t>
      </w:r>
    </w:p>
    <w:p>
      <w:r>
        <w:rPr>
          <w:b w:val="0"/>
        </w:rPr>
        <w:t>Для незавершённой проверки ставится «не проверено». Ноль вместо отсутствующего знания не используется. Даты и продолжительность эксплуатации характеризуют доказательство и физический процесс; они не задают учебную нагрузку.</w:t>
      </w:r>
    </w:p>
    <w:p>
      <w:pPr>
        <w:pStyle w:val="Heading1"/>
        <w:pageBreakBefore/>
      </w:pPr>
      <w:r>
        <w:t>4 Правила сравнения и ведения</w:t>
      </w:r>
    </w:p>
    <w:p>
      <w:pPr>
        <w:pStyle w:val="Heading2"/>
      </w:pPr>
      <w:r>
        <w:t>Сопоставимые задания</w:t>
      </w:r>
    </w:p>
    <w:p>
      <w:r>
        <w:rPr>
          <w:b w:val="0"/>
        </w:rPr>
        <w:t>До сравнения фиксируются одна миссия, исходные ресурсы, качество услуги, допустимые риски и критерии результата. Два независимых рецензента разбирают доказательства; существенное расхождение передаётся третьему. Они раскрывают заинтересованность и дают участнику возможность исправить фактическую ошибку.</w:t>
      </w:r>
    </w:p>
    <w:p>
      <w:r>
        <w:rPr>
          <w:b w:val="0"/>
        </w:rPr>
        <w:t>Если один результат убедительно превосходит другой по согласованным показателям без существенного ухудшения обязательных характеристик, это преимущество можно отметить. При разнонаправленных результатах сохраняются разные профили. Итоговый порядок не выводится из произвольной суммы несопоставимых величин.</w:t>
      </w:r>
    </w:p>
    <w:p>
      <w:pPr>
        <w:pStyle w:val="Heading2"/>
      </w:pPr>
      <w:r>
        <w:t>Инициатор рейтинга</w:t>
      </w:r>
    </w:p>
    <w:p>
      <w:r>
        <w:rPr>
          <w:b w:val="0"/>
        </w:rPr>
        <w:t>(имя скрыто) проходит ту же процедуру. Он не оценивает себя и не принимает решение по собственной апелляции. Независимая комиссия ещё не сформирована. Сбор открытых источников позволяет находить кандидатов и готовить досье.</w:t>
      </w:r>
    </w:p>
    <w:p>
      <w:pPr>
        <w:pStyle w:val="Heading2"/>
      </w:pPr>
      <w:r>
        <w:t>Регулярная работа</w:t>
      </w:r>
    </w:p>
    <w:p>
      <w:r>
        <w:rPr>
          <w:b w:val="0"/>
        </w:rPr>
        <w:t>• Ежемесячно: новые кандидаты и источники, проверка утверждений, обновление пробелов и один вывод для личной подготовки.</w:t>
      </w:r>
    </w:p>
    <w:p>
      <w:r>
        <w:rPr>
          <w:b w:val="0"/>
        </w:rPr>
        <w:t>• Ежеквартально: проверка актуальности ролей, существенных изменений и необходимости повторной оценки.</w:t>
      </w:r>
    </w:p>
    <w:p>
      <w:r>
        <w:rPr>
          <w:b w:val="0"/>
        </w:rPr>
        <w:t>• Ежегодно: обзор методики и полноты охвата. Повторная защита назначается по изменившейся задаче, новым доказательствам или выявленному пробелу.</w:t>
      </w:r>
    </w:p>
    <w:p>
      <w:r>
        <w:rPr>
          <w:b w:val="0"/>
        </w:rPr>
        <w:t>Поиск включает автономную полярную и горную инфраструктуру, космическую энергетику, жизнеобеспечение, действующие энергетические системы и реализованные междисциплинарные решения. Учитываются разные регионы и языки; публичность человека не является критерием мастерства.</w:t>
      </w:r>
    </w:p>
    <w:p>
      <w:pPr>
        <w:pStyle w:val="Heading2"/>
      </w:pPr>
      <w:r>
        <w:t>Запись и пересмотр</w:t>
      </w:r>
    </w:p>
    <w:p>
      <w:r>
        <w:rPr>
          <w:b w:val="0"/>
        </w:rPr>
        <w:t>Для каждого человека хранятся три профиля, конкретные кейсы, стадия и качество доказательств, личная роль, источники и неизвестное. Изменения имеют версию и причину; старые записи сохраняются в истории. Публичный выпуск требует отдельной подготовки и проверки сведений участниками.</w:t>
      </w:r>
    </w:p>
    <w:p>
      <w:r>
        <w:rPr>
          <w:b w:val="0"/>
        </w:rPr>
        <w:t>Версия 0.2 согласована с программой 2.0. Формула и веса версии 0.1 архивированы и не используются. Документы внешней квалификации учитываются в пределах их предмета и действительности; количество сертификатов не определяет место.</w:t>
      </w:r>
    </w:p>
    <w:p>
      <w:pPr>
        <w:pStyle w:val="Heading1"/>
        <w:pageBreakBefore/>
      </w:pPr>
      <w:r>
        <w:t>5 Стартовый реестр и источники</w:t>
      </w:r>
    </w:p>
    <w:p>
      <w:r>
        <w:rPr>
          <w:b w:val="0"/>
        </w:rPr>
        <w:t>Реестр содержит начальные карточки для дальнейшего изучения. Никто из перечисленных участников не прошёл общую оценку по трём способностям; места не присвоены. Состав будет расширяться под новую постановку задачи.</w:t>
      </w:r>
    </w:p>
    <w:tbl>
      <w:tblPr>
        <w:tblW w:type="auto" w:w="0"/>
        <w:jc w:val="center"/>
        <w:tblLayout w:type="fixed"/>
        <w:tblLook w:firstColumn="1" w:firstRow="1" w:lastColumn="0" w:lastRow="0" w:noHBand="0" w:noVBand="1" w:val="04A0"/>
      </w:tblPr>
      <w:tblGrid>
        <w:gridCol w:w="1928"/>
        <w:gridCol w:w="3685"/>
        <w:gridCol w:w="4025"/>
      </w:tblGrid>
      <w:tr>
        <w:trPr>
          <w:cantSplit/>
          <w:tblHeader/>
        </w:trPr>
        <w:tc>
          <w:tcPr>
            <w:tcW w:type="dxa" w:w="1928"/>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Человек</w:t>
            </w:r>
          </w:p>
        </w:tc>
        <w:tc>
          <w:tcPr>
            <w:tcW w:type="dxa" w:w="3685"/>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Основание карточки</w:t>
            </w:r>
          </w:p>
        </w:tc>
        <w:tc>
          <w:tcPr>
            <w:tcW w:type="dxa" w:w="4025"/>
            <w:vAlign w:val="center"/>
            <w:shd w:fill="333333"/>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b/>
                <w:color w:val="FFFFFF"/>
                <w:sz w:val="20"/>
              </w:rPr>
              <w:t>Следующий шаг</w:t>
            </w:r>
          </w:p>
        </w:tc>
      </w:tr>
      <w:tr>
        <w:trPr>
          <w:cantSplit/>
        </w:trPr>
        <w:tc>
          <w:tcPr>
            <w:tcW w:type="dxa" w:w="1928"/>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Andre Nortje</w:t>
            </w:r>
          </w:p>
        </w:tc>
        <w:tc>
          <w:tcPr>
            <w:tcW w:type="dxa" w:w="368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AEE Energy Manager of the Year 2026 [5]</w:t>
            </w:r>
          </w:p>
        </w:tc>
        <w:tc>
          <w:tcPr>
            <w:tcW w:type="dxa" w:w="402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Найти кейсы, установить роль и оценить применимость к трём способностям.</w:t>
            </w:r>
          </w:p>
        </w:tc>
      </w:tr>
      <w:tr>
        <w:trPr>
          <w:cantSplit/>
        </w:trPr>
        <w:tc>
          <w:tcPr>
            <w:tcW w:type="dxa" w:w="1928"/>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Jagan Pillai</w:t>
            </w:r>
          </w:p>
        </w:tc>
        <w:tc>
          <w:tcPr>
            <w:tcW w:type="dxa" w:w="3685"/>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AEE Energy Innovator of the Year 2026 [5]</w:t>
            </w:r>
          </w:p>
        </w:tc>
        <w:tc>
          <w:tcPr>
            <w:tcW w:type="dxa" w:w="4025"/>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Разобрать подтверждённые решения и личный вклад.</w:t>
            </w:r>
          </w:p>
        </w:tc>
      </w:tr>
      <w:tr>
        <w:trPr>
          <w:cantSplit/>
        </w:trPr>
        <w:tc>
          <w:tcPr>
            <w:tcW w:type="dxa" w:w="1928"/>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Gregg Fischer</w:t>
            </w:r>
          </w:p>
        </w:tc>
        <w:tc>
          <w:tcPr>
            <w:tcW w:type="dxa" w:w="368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AEE Energy Engineer of the Year 2026 [5]</w:t>
            </w:r>
          </w:p>
        </w:tc>
        <w:tc>
          <w:tcPr>
            <w:tcW w:type="dxa" w:w="4025"/>
            <w:vAlign w:val="center"/>
            <w:shd w:fill="FFFFFF"/>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Проверить результаты и функцию в реализованных проектах.</w:t>
            </w:r>
          </w:p>
        </w:tc>
      </w:tr>
      <w:tr>
        <w:trPr>
          <w:cantSplit/>
        </w:trPr>
        <w:tc>
          <w:tcPr>
            <w:tcW w:type="dxa" w:w="1928"/>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(имя скрыто)</w:t>
            </w:r>
          </w:p>
        </w:tc>
        <w:tc>
          <w:tcPr>
            <w:tcW w:type="dxa" w:w="3685"/>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Индивидуальная программа подготовки</w:t>
            </w:r>
          </w:p>
        </w:tc>
        <w:tc>
          <w:tcPr>
            <w:tcW w:type="dxa" w:w="4025"/>
            <w:vAlign w:val="center"/>
            <w:shd w:fill="F2F2F2"/>
            <w:tcBorders>
              <w:top w:val="single" w:sz="4" w:color="D9D9D9"/>
              <w:left w:val="single" w:sz="4" w:color="D9D9D9"/>
              <w:bottom w:val="single" w:sz="4" w:color="D9D9D9"/>
              <w:right w:val="single" w:sz="4" w:color="D9D9D9"/>
            </w:tcBorders>
            <w:tcMar>
              <w:top w:w="95" w:type="dxa"/>
              <w:bottom w:w="95" w:type="dxa"/>
              <w:left w:w="95" w:type="dxa"/>
              <w:right w:w="95" w:type="dxa"/>
            </w:tcMar>
          </w:tcPr>
          <w:p>
            <w:pPr>
              <w:spacing w:after="0" w:line="247" w:lineRule="auto"/>
            </w:pPr>
            <w:r>
              <w:rPr>
                <w:rFonts w:ascii="Cambria" w:hAnsi="Cambria"/>
                <w:sz w:val="20"/>
              </w:rPr>
              <w:t>Пройти диагностику Б01–Б16 и собрать первый пакет миссии.</w:t>
            </w:r>
          </w:p>
        </w:tc>
      </w:tr>
    </w:tbl>
    <w:p>
      <w:pPr>
        <w:spacing w:after="0" w:line="60" w:lineRule="exact"/>
      </w:pPr>
    </w:p>
    <w:p>
      <w:r>
        <w:rPr>
          <w:b w:val="0"/>
        </w:rPr>
        <w:t>Награды подтверждают факт профессионального признания в соответствующей номинации. В стартовой выборке использован один наградной источник, поэтому мировой охват пока не обеспечен. Биография не заменяет данные и проверку квалификации.</w:t>
      </w:r>
    </w:p>
    <w:p>
      <w:pPr>
        <w:pStyle w:val="Heading2"/>
      </w:pPr>
      <w:r>
        <w:t>Источники</w:t>
      </w:r>
    </w:p>
    <w:p>
      <w:pPr>
        <w:spacing w:after="100"/>
      </w:pPr>
      <w:hyperlink r:id="rId10">
        <w:r>
          <w:rPr>
            <w:color w:val="174B72"/>
            <w:sz w:val="20"/>
          </w:rPr>
          <w:t>1 ISO 50006 Показатели результативности и базовые уровни</w:t>
        </w:r>
      </w:hyperlink>
    </w:p>
    <w:p>
      <w:pPr>
        <w:spacing w:after="100"/>
      </w:pPr>
      <w:hyperlink r:id="rId11">
        <w:r>
          <w:rPr>
            <w:color w:val="174B72"/>
            <w:sz w:val="20"/>
          </w:rPr>
          <w:t>2 ISO 55001 Управление активами</w:t>
        </w:r>
      </w:hyperlink>
    </w:p>
    <w:p>
      <w:pPr>
        <w:spacing w:after="100"/>
      </w:pPr>
      <w:hyperlink r:id="rId12">
        <w:r>
          <w:rPr>
            <w:color w:val="174B72"/>
            <w:sz w:val="20"/>
          </w:rPr>
          <w:t>3 NASA Энергосистемы будущих внеземных баз</w:t>
        </w:r>
      </w:hyperlink>
    </w:p>
    <w:p>
      <w:pPr>
        <w:spacing w:after="100"/>
      </w:pPr>
      <w:hyperlink r:id="rId13">
        <w:r>
          <w:rPr>
            <w:color w:val="174B72"/>
            <w:sz w:val="20"/>
          </w:rPr>
          <w:t>4 Минэнерго Модель энергетики и энергия мысли</w:t>
        </w:r>
      </w:hyperlink>
    </w:p>
    <w:p>
      <w:pPr>
        <w:spacing w:after="100"/>
      </w:pPr>
      <w:hyperlink r:id="rId14">
        <w:r>
          <w:rPr>
            <w:color w:val="174B72"/>
            <w:sz w:val="20"/>
          </w:rPr>
          <w:t>5 AEE Международные награды 2026 года</w:t>
        </w:r>
      </w:hyperlink>
    </w:p>
    <w:p>
      <w:pPr>
        <w:pStyle w:val="Heading2"/>
      </w:pPr>
      <w:r>
        <w:t>Практическое применение</w:t>
      </w:r>
    </w:p>
    <w:p>
      <w:r>
        <w:rPr>
          <w:b w:val="0"/>
        </w:rPr>
        <w:t>Каждое подтверждённое сильное решение становится ориентиром для подготовки: какую задачу человек решил, что для этого знал, как проверил результат, какие ограничения сохранились. Следующее задание (имя скрыто) определяется пробелом и готовностью к нему.</w:t>
      </w:r>
    </w:p>
    <w:p>
      <w:r>
        <w:rPr>
          <w:b w:val="0"/>
        </w:rPr>
        <w:t>Базовые знания проверяются по программе 2.0. Статусы компетенций и источники обновляются в реестре. Работа по методике ведётся для личного использования; независимое международное признание методики не установлено.</w:t>
      </w:r>
    </w:p>
    <w:sectPr>
      <w:footerReference w:type="default" r:id="rId9"/>
      <w:pgSz w:w="11906" w:h="16838"/>
      <w:pgMar w:top="1020" w:right="1134" w:bottom="1020" w:left="1134" w:header="72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(имя скрыто)  |  Версия 0.2  |  28.09.2026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4" w:lineRule="auto" w:after="120"/>
    </w:pPr>
    <w:rPr>
      <w:rFonts w:ascii="Cambria" w:hAnsi="Cambria" w:eastAsia="Cambria" w:cs="Cambr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Cambria" w:hAnsi="Cambria" w:eastAsia="Cambria" w:cs="Cambria"/>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60" w:after="160"/>
      <w:outlineLvl w:val="1"/>
    </w:pPr>
    <w:rPr>
      <w:rFonts w:ascii="Cambria" w:hAnsi="Cambria" w:eastAsia="Cambria" w:cs="Cambr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contextualSpacing/>
    </w:pPr>
    <w:rPr>
      <w:rFonts w:ascii="Cambria" w:hAnsi="Cambria" w:eastAsia="Cambria" w:cs="Cambr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Cambria" w:hAnsi="Cambria" w:eastAsia="Cambria" w:cs="Cambria"/>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iso.org/standard/79367.html" TargetMode="External"/><Relationship Id="rId11" Type="http://schemas.openxmlformats.org/officeDocument/2006/relationships/hyperlink" Target="https://www.iso.org/standard/83054.html" TargetMode="External"/><Relationship Id="rId12" Type="http://schemas.openxmlformats.org/officeDocument/2006/relationships/hyperlink" Target="https://www.nasa.gov/humans-in-space/fission-system-to-power-exploration-on-the-moons-surface-and-beyond/" TargetMode="External"/><Relationship Id="rId13" Type="http://schemas.openxmlformats.org/officeDocument/2006/relationships/hyperlink" Target="https://t.me/s/minenergo_official?after=3597" TargetMode="External"/><Relationship Id="rId14" Type="http://schemas.openxmlformats.org/officeDocument/2006/relationships/hyperlink" Target="https://www.aeecenter.org/aee-news/2026-intl-award-win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Методика сравнения квалификации главных энергетиков</dc:title>
  <dc:subject>Подготовка по подтверждённой готовности</dc:subject>
  <dc:creator>(имя скрыто)</dc:creator>
  <cp:keywords/>
  <dc:description>generated by python-docx</dc:description>
  <cp:lastModifiedBy/>
  <cp:revision>1</cp:revision>
  <dcterms:created xsi:type="dcterms:W3CDTF">2013-12-23T23:15:00Z</dcterms:created>
  <dcterms:modified xsi:type="dcterms:W3CDTF">2013-12-23T23:15:00Z</dcterms:modified>
  <cp:category/>
</cp:coreProperties>
</file>